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B10D0">
      <w:pPr>
        <w:pStyle w:val="84"/>
        <w:rPr>
          <w:caps w:val="0"/>
          <w:kern w:val="0"/>
        </w:rPr>
      </w:pPr>
      <w:r>
        <w:rPr>
          <w:caps w:val="0"/>
          <w:kern w:val="0"/>
        </w:rPr>
        <w:t>NOTIFICATION</w:t>
      </w:r>
    </w:p>
    <w:p w14:paraId="7920C9B6">
      <w:pPr>
        <w:jc w:val="center"/>
      </w:pPr>
      <w:r>
        <w:t>The following notification is being circulated in accordance with Article 10.6</w:t>
      </w:r>
    </w:p>
    <w:p w14:paraId="79E7364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7096E4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PrEx>
        <w:tc>
          <w:tcPr>
            <w:tcW w:w="713" w:type="dxa"/>
            <w:tcBorders>
              <w:bottom w:val="single" w:color="auto" w:sz="6" w:space="0"/>
            </w:tcBorders>
            <w:shd w:val="clear" w:color="auto" w:fill="auto"/>
          </w:tcPr>
          <w:p w14:paraId="36199EF4">
            <w:pPr>
              <w:spacing w:before="120" w:after="120"/>
              <w:jc w:val="left"/>
            </w:pPr>
            <w:r>
              <w:rPr>
                <w:b/>
              </w:rPr>
              <w:t>1.</w:t>
            </w:r>
          </w:p>
        </w:tc>
        <w:tc>
          <w:tcPr>
            <w:tcW w:w="8546" w:type="dxa"/>
            <w:tcBorders>
              <w:bottom w:val="single" w:color="auto" w:sz="6" w:space="0"/>
            </w:tcBorders>
            <w:shd w:val="clear" w:color="auto" w:fill="auto"/>
          </w:tcPr>
          <w:p w14:paraId="0FF3BECD">
            <w:pPr>
              <w:spacing w:before="120" w:after="120"/>
            </w:pPr>
            <w:r>
              <w:rPr>
                <w:b/>
              </w:rPr>
              <w:t>Notifying Member:</w:t>
            </w:r>
            <w:r>
              <w:t xml:space="preserve"> </w:t>
            </w:r>
            <w:r>
              <w:rPr>
                <w:u w:val="single"/>
              </w:rPr>
              <w:t>MALAWI</w:t>
            </w:r>
          </w:p>
          <w:p w14:paraId="14EB6EE1">
            <w:pPr>
              <w:spacing w:after="120"/>
            </w:pPr>
            <w:r>
              <w:rPr>
                <w:b/>
              </w:rPr>
              <w:t>If applicable, name of local government involved (Article 3.2 and 7.2):</w:t>
            </w:r>
            <w:r>
              <w:t xml:space="preserve"> </w:t>
            </w:r>
          </w:p>
        </w:tc>
      </w:tr>
      <w:tr w14:paraId="0C3148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FD77627">
            <w:pPr>
              <w:spacing w:before="120" w:after="120"/>
              <w:jc w:val="left"/>
            </w:pPr>
            <w:r>
              <w:rPr>
                <w:b/>
              </w:rPr>
              <w:t>2.</w:t>
            </w:r>
          </w:p>
        </w:tc>
        <w:tc>
          <w:tcPr>
            <w:tcW w:w="8546" w:type="dxa"/>
            <w:tcBorders>
              <w:top w:val="single" w:color="auto" w:sz="6" w:space="0"/>
              <w:bottom w:val="single" w:color="auto" w:sz="6" w:space="0"/>
            </w:tcBorders>
            <w:shd w:val="clear" w:color="auto" w:fill="auto"/>
          </w:tcPr>
          <w:p w14:paraId="77DC7508">
            <w:pPr>
              <w:spacing w:before="120" w:after="120"/>
            </w:pPr>
            <w:r>
              <w:rPr>
                <w:b/>
              </w:rPr>
              <w:t>Agency responsible:</w:t>
            </w:r>
            <w:r>
              <w:t xml:space="preserve"> </w:t>
            </w:r>
          </w:p>
          <w:p w14:paraId="2740AFC1">
            <w:pPr>
              <w:spacing w:after="120"/>
            </w:pPr>
            <w:r>
              <w:t>Malawi Bureau of Standards</w:t>
            </w:r>
          </w:p>
          <w:p w14:paraId="3F0DB6F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77445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BADCC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B4141B">
            <w:pPr>
              <w:spacing w:before="120" w:after="120"/>
            </w:pPr>
            <w:r>
              <w:rPr>
                <w:b/>
              </w:rPr>
              <w:t>Notified under Article 2.9.2 [X], 2.10.1 [ ], 5.6.2 [ ], 5.7.1 [ ], 3.2 [ ], 7.2 [ ], other:</w:t>
            </w:r>
            <w:r>
              <w:t xml:space="preserve"> </w:t>
            </w:r>
          </w:p>
        </w:tc>
      </w:tr>
      <w:tr w14:paraId="732FD84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AA4638">
            <w:pPr>
              <w:spacing w:before="120" w:after="120"/>
              <w:jc w:val="left"/>
            </w:pPr>
            <w:r>
              <w:rPr>
                <w:b/>
              </w:rPr>
              <w:t>4.</w:t>
            </w:r>
          </w:p>
        </w:tc>
        <w:tc>
          <w:tcPr>
            <w:tcW w:w="8546" w:type="dxa"/>
            <w:tcBorders>
              <w:top w:val="single" w:color="auto" w:sz="6" w:space="0"/>
              <w:bottom w:val="single" w:color="auto" w:sz="6" w:space="0"/>
            </w:tcBorders>
            <w:shd w:val="clear" w:color="auto" w:fill="auto"/>
          </w:tcPr>
          <w:p w14:paraId="6954BEFD">
            <w:pPr>
              <w:spacing w:before="120" w:after="120"/>
            </w:pPr>
            <w:r>
              <w:rPr>
                <w:b/>
              </w:rPr>
              <w:t>Products covered (HS or CCCN where applicable, otherwise national tariff heading. ICS numbers may be provided in addition, where applicable):</w:t>
            </w:r>
            <w:r>
              <w:t xml:space="preserve"> Other oil seeds and oleaginous fruits, whether or not broken (excl. edible nuts, olives, soya beans, groundnuts, copra, linseed, rape or colza seeds and sunflower seeds) (HS code(s): 1207); Oilseeds (ICS code(s): 67.200.20)</w:t>
            </w:r>
          </w:p>
        </w:tc>
      </w:tr>
      <w:tr w14:paraId="34CEF3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D894356">
            <w:pPr>
              <w:spacing w:before="120" w:after="120"/>
              <w:jc w:val="left"/>
            </w:pPr>
            <w:r>
              <w:rPr>
                <w:b/>
              </w:rPr>
              <w:t>5.</w:t>
            </w:r>
          </w:p>
        </w:tc>
        <w:tc>
          <w:tcPr>
            <w:tcW w:w="8546" w:type="dxa"/>
            <w:tcBorders>
              <w:top w:val="single" w:color="auto" w:sz="6" w:space="0"/>
              <w:bottom w:val="single" w:color="auto" w:sz="6" w:space="0"/>
            </w:tcBorders>
            <w:shd w:val="clear" w:color="auto" w:fill="auto"/>
          </w:tcPr>
          <w:p w14:paraId="4170B07C">
            <w:pPr>
              <w:spacing w:before="120" w:after="120"/>
            </w:pPr>
            <w:r>
              <w:rPr>
                <w:b/>
              </w:rPr>
              <w:t>Title, number of pages and language(s) of the notified document:</w:t>
            </w:r>
            <w:r>
              <w:t xml:space="preserve"> DMS 1783:2021 Chia seeds – Specification; (5 page(s), in English)</w:t>
            </w:r>
          </w:p>
        </w:tc>
      </w:tr>
      <w:tr w14:paraId="55E359F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2677A09">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56C16F9A">
            <w:pPr>
              <w:spacing w:before="120" w:after="120"/>
              <w:rPr>
                <w:b/>
              </w:rPr>
            </w:pPr>
            <w:r>
              <w:rPr>
                <w:b/>
              </w:rPr>
              <w:t>Description of content:</w:t>
            </w:r>
            <w:r>
              <w:t xml:space="preserve"> This draft Malawi standard specifies the requirements, methods of sampling and test for chia seed (</w:t>
            </w:r>
            <w:r>
              <w:rPr>
                <w:i/>
                <w:iCs/>
              </w:rPr>
              <w:t xml:space="preserve">Salvia hispanica </w:t>
            </w:r>
            <w:r>
              <w:t>L.) intended for human consumption. It does not apply to chia seed as a planting material.</w:t>
            </w:r>
          </w:p>
        </w:tc>
      </w:tr>
      <w:tr w14:paraId="727FC8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DFF1C3F">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0EEB4341">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Reducing trade barriers and facilitating trade</w:t>
            </w:r>
          </w:p>
        </w:tc>
      </w:tr>
      <w:tr w14:paraId="3009B54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2B2BEC07">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11B14A23">
            <w:pPr>
              <w:spacing w:before="120" w:after="120"/>
              <w:rPr>
                <w:bCs/>
              </w:rPr>
            </w:pPr>
            <w:r>
              <w:rPr>
                <w:b/>
              </w:rPr>
              <w:t>Relevant documents:</w:t>
            </w:r>
            <w:r>
              <w:t xml:space="preserve"> </w:t>
            </w:r>
          </w:p>
          <w:p w14:paraId="5B27D9C9">
            <w:pPr>
              <w:numPr>
                <w:ilvl w:val="0"/>
                <w:numId w:val="7"/>
              </w:numPr>
              <w:spacing w:before="120" w:after="120"/>
            </w:pPr>
            <w:r>
              <w:t xml:space="preserve">MS 19-1: </w:t>
            </w:r>
            <w:r>
              <w:rPr>
                <w:i/>
                <w:iCs/>
              </w:rPr>
              <w:t>Labelling of foods – General standard, Part 1: Prepackaged food</w:t>
            </w:r>
          </w:p>
          <w:p w14:paraId="6DAEDAAA">
            <w:pPr>
              <w:numPr>
                <w:ilvl w:val="0"/>
                <w:numId w:val="7"/>
              </w:numPr>
              <w:spacing w:before="120" w:after="120"/>
            </w:pPr>
            <w:r>
              <w:t xml:space="preserve">MS 19-2: </w:t>
            </w:r>
            <w:r>
              <w:rPr>
                <w:i/>
                <w:iCs/>
              </w:rPr>
              <w:t>Labelling of foods – General standard, Part 2: Non-retail containers</w:t>
            </w:r>
          </w:p>
          <w:p w14:paraId="42CE2361">
            <w:pPr>
              <w:numPr>
                <w:ilvl w:val="0"/>
                <w:numId w:val="7"/>
              </w:numPr>
              <w:spacing w:before="120" w:after="120"/>
            </w:pPr>
            <w:r>
              <w:t xml:space="preserve">MS 21: </w:t>
            </w:r>
            <w:r>
              <w:rPr>
                <w:i/>
                <w:iCs/>
              </w:rPr>
              <w:t>Food and food processing units – Code of hygienic conditions</w:t>
            </w:r>
          </w:p>
          <w:p w14:paraId="5B026F55">
            <w:pPr>
              <w:numPr>
                <w:ilvl w:val="0"/>
                <w:numId w:val="7"/>
              </w:numPr>
              <w:spacing w:before="120" w:after="120"/>
            </w:pPr>
            <w:r>
              <w:t xml:space="preserve">MS 145: </w:t>
            </w:r>
            <w:r>
              <w:rPr>
                <w:i/>
                <w:iCs/>
              </w:rPr>
              <w:t>Cereals, and cereal products – Sampling</w:t>
            </w:r>
          </w:p>
          <w:p w14:paraId="6A82A7D7">
            <w:pPr>
              <w:numPr>
                <w:ilvl w:val="0"/>
                <w:numId w:val="7"/>
              </w:numPr>
              <w:spacing w:before="120" w:after="120"/>
            </w:pPr>
            <w:r>
              <w:t xml:space="preserve">MS 302: </w:t>
            </w:r>
            <w:r>
              <w:rPr>
                <w:i/>
                <w:iCs/>
              </w:rPr>
              <w:t>Contaminants and toxins in food – General standard</w:t>
            </w:r>
          </w:p>
          <w:p w14:paraId="3111371E">
            <w:pPr>
              <w:numPr>
                <w:ilvl w:val="0"/>
                <w:numId w:val="7"/>
              </w:numPr>
              <w:spacing w:before="120" w:after="120"/>
            </w:pPr>
            <w:r>
              <w:t xml:space="preserve">MS 624: </w:t>
            </w:r>
            <w:r>
              <w:rPr>
                <w:i/>
                <w:iCs/>
              </w:rPr>
              <w:t>Nutrition labelling – Requirements</w:t>
            </w:r>
          </w:p>
          <w:p w14:paraId="61B6C4E6">
            <w:pPr>
              <w:numPr>
                <w:ilvl w:val="0"/>
                <w:numId w:val="7"/>
              </w:numPr>
              <w:spacing w:before="120" w:after="120"/>
            </w:pPr>
            <w:r>
              <w:t xml:space="preserve">MS 625: </w:t>
            </w:r>
            <w:r>
              <w:rPr>
                <w:i/>
                <w:iCs/>
              </w:rPr>
              <w:t>Claims on food – Requirements</w:t>
            </w:r>
          </w:p>
          <w:p w14:paraId="502E604A">
            <w:pPr>
              <w:numPr>
                <w:ilvl w:val="0"/>
                <w:numId w:val="7"/>
              </w:numPr>
              <w:spacing w:before="120" w:after="120"/>
            </w:pPr>
            <w:r>
              <w:t xml:space="preserve">MS 1779: </w:t>
            </w:r>
            <w:r>
              <w:rPr>
                <w:i/>
                <w:iCs/>
              </w:rPr>
              <w:t>Pulses – Determination of moisture content – Air-oven method</w:t>
            </w:r>
          </w:p>
          <w:p w14:paraId="478D9CB2">
            <w:pPr>
              <w:numPr>
                <w:ilvl w:val="0"/>
                <w:numId w:val="7"/>
              </w:numPr>
              <w:spacing w:before="120" w:after="120"/>
            </w:pPr>
            <w:r>
              <w:t xml:space="preserve">MS 1796: </w:t>
            </w:r>
            <w:r>
              <w:rPr>
                <w:i/>
                <w:iCs/>
              </w:rPr>
              <w:t>Pulses – Determination of impurities, size, foreign odour, insects, and species and variety – Test methods</w:t>
            </w:r>
          </w:p>
          <w:p w14:paraId="48C0A13E">
            <w:pPr>
              <w:numPr>
                <w:ilvl w:val="0"/>
                <w:numId w:val="7"/>
              </w:numPr>
              <w:spacing w:before="120" w:after="120"/>
            </w:pPr>
            <w:r>
              <w:t xml:space="preserve">ISO 6579, </w:t>
            </w:r>
            <w:r>
              <w:rPr>
                <w:i/>
                <w:iCs/>
              </w:rPr>
              <w:t>Microbiology of food and animal feeding stuffs – Horizontal method for the detection of Salmonella spp.</w:t>
            </w:r>
          </w:p>
          <w:p w14:paraId="60325631">
            <w:pPr>
              <w:numPr>
                <w:ilvl w:val="0"/>
                <w:numId w:val="7"/>
              </w:numPr>
              <w:spacing w:before="120" w:after="120"/>
            </w:pPr>
            <w:r>
              <w:t xml:space="preserve">ISO 7251: </w:t>
            </w:r>
            <w:r>
              <w:rPr>
                <w:i/>
                <w:iCs/>
              </w:rPr>
              <w:t>Microbiology of food and animal feeding stuffs – Horizontal method for the detection and enumeration of presumptive Escherichia coli – Most probable number technique</w:t>
            </w:r>
          </w:p>
          <w:p w14:paraId="4CFBF8AA">
            <w:pPr>
              <w:numPr>
                <w:ilvl w:val="0"/>
                <w:numId w:val="7"/>
              </w:numPr>
              <w:spacing w:before="120" w:after="120"/>
              <w:ind w:left="720" w:leftChars="0" w:hanging="360" w:firstLineChars="0"/>
            </w:pPr>
            <w:r>
              <w:t xml:space="preserve">ISO 16050: </w:t>
            </w:r>
            <w:r>
              <w:rPr>
                <w:i/>
                <w:iCs/>
              </w:rPr>
              <w:t>Foodstuffs – Determination of aflatoxin B1, and the total content of aflatoxins B1, B2, G1 and G2 in cereals, nuts and derived products – High-performance liquid chromatographic method</w:t>
            </w:r>
          </w:p>
        </w:tc>
      </w:tr>
      <w:bookmarkEnd w:id="10"/>
      <w:tr w14:paraId="040F5C2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F7B728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DE57ECF">
            <w:pPr>
              <w:spacing w:before="120" w:after="120"/>
            </w:pPr>
            <w:r>
              <w:rPr>
                <w:b/>
              </w:rPr>
              <w:t>Proposed date of adoption:</w:t>
            </w:r>
            <w:r>
              <w:t xml:space="preserve"> To be determined</w:t>
            </w:r>
          </w:p>
          <w:p w14:paraId="283E960E">
            <w:pPr>
              <w:spacing w:after="120"/>
            </w:pPr>
            <w:r>
              <w:rPr>
                <w:b/>
              </w:rPr>
              <w:t>Proposed date of entry into force:</w:t>
            </w:r>
            <w:r>
              <w:t xml:space="preserve"> To be determined</w:t>
            </w:r>
          </w:p>
        </w:tc>
      </w:tr>
      <w:tr w14:paraId="1877D0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4FC99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ACD3D01">
            <w:pPr>
              <w:spacing w:before="120" w:after="120"/>
              <w:rPr>
                <w:rFonts w:hint="eastAsia" w:eastAsia="宋体"/>
                <w:bCs/>
                <w:lang w:eastAsia="zh-CN"/>
              </w:rPr>
            </w:pPr>
            <w:r>
              <w:rPr>
                <w:b/>
              </w:rPr>
              <w:t>Final date for comments:</w:t>
            </w:r>
            <w:r>
              <w:t xml:space="preserve"> 21 September 2025</w:t>
            </w:r>
            <w:r>
              <w:rPr>
                <w:rFonts w:hint="eastAsia" w:eastAsia="宋体"/>
                <w:lang w:eastAsia="zh-CN"/>
              </w:rPr>
              <w:t>；</w:t>
            </w:r>
          </w:p>
          <w:p w14:paraId="1EAA1499">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7DE50520">
            <w:pPr>
              <w:spacing w:before="120" w:after="120"/>
            </w:pPr>
            <w:r>
              <w:rPr>
                <w:b/>
                <w:bCs/>
              </w:rPr>
              <w:t>Contact details of agency or authority designated to handle comments regarding the notification:</w:t>
            </w:r>
            <w:r>
              <w:t xml:space="preserve"> </w:t>
            </w:r>
          </w:p>
          <w:p w14:paraId="56028AC5">
            <w:r>
              <w:t>Director General</w:t>
            </w:r>
          </w:p>
          <w:p w14:paraId="3A928201">
            <w:r>
              <w:t>Malawi Bureau of Standards</w:t>
            </w:r>
          </w:p>
          <w:p w14:paraId="2192436C">
            <w:r>
              <w:t>P.O. Box 946</w:t>
            </w:r>
          </w:p>
          <w:p w14:paraId="4AF5414E">
            <w:r>
              <w:t>Blantyre,Malawi</w:t>
            </w:r>
          </w:p>
          <w:p w14:paraId="3DD71F28">
            <w:r>
              <w:t>Tel: + 265 887376 444</w:t>
            </w:r>
          </w:p>
          <w:p w14:paraId="00D328DD">
            <w:r>
              <w:t>Fax: + 265 1870 756</w:t>
            </w:r>
          </w:p>
          <w:p w14:paraId="4387E8EF">
            <w:pPr>
              <w:spacing w:before="120" w:after="120"/>
            </w:pPr>
            <w:r>
              <w:t xml:space="preserve">E-mail: </w:t>
            </w:r>
            <w:r>
              <w:fldChar w:fldCharType="begin"/>
            </w:r>
            <w:r>
              <w:instrText xml:space="preserve"> HYPERLINK "mailto:info@mbsmw.org" </w:instrText>
            </w:r>
            <w:r>
              <w:fldChar w:fldCharType="separate"/>
            </w:r>
            <w:r>
              <w:rPr>
                <w:color w:val="0000FF"/>
                <w:u w:val="single"/>
              </w:rPr>
              <w:t>info@mbsmw.org</w:t>
            </w:r>
            <w:r>
              <w:rPr>
                <w:color w:val="0000FF"/>
                <w:u w:val="single"/>
              </w:rPr>
              <w:fldChar w:fldCharType="end"/>
            </w:r>
          </w:p>
        </w:tc>
      </w:tr>
      <w:tr w14:paraId="3CC0F5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775D20D">
            <w:pPr>
              <w:keepNext/>
              <w:keepLines/>
              <w:spacing w:before="120" w:after="120"/>
              <w:jc w:val="left"/>
              <w:rPr>
                <w:b/>
              </w:rPr>
            </w:pPr>
            <w:r>
              <w:rPr>
                <w:b/>
              </w:rPr>
              <w:t>11.</w:t>
            </w:r>
          </w:p>
        </w:tc>
        <w:tc>
          <w:tcPr>
            <w:tcW w:w="8546" w:type="dxa"/>
            <w:tcBorders>
              <w:top w:val="single" w:color="auto" w:sz="6" w:space="0"/>
            </w:tcBorders>
            <w:shd w:val="clear" w:color="auto" w:fill="auto"/>
          </w:tcPr>
          <w:p w14:paraId="0E08073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D088EFF">
            <w:pPr>
              <w:rPr>
                <w:iCs/>
              </w:rPr>
            </w:pPr>
            <w:r>
              <w:rPr>
                <w:iCs/>
              </w:rPr>
              <w:t>Director General</w:t>
            </w:r>
          </w:p>
          <w:p w14:paraId="5C62A62D">
            <w:pPr>
              <w:rPr>
                <w:iCs/>
              </w:rPr>
            </w:pPr>
            <w:r>
              <w:rPr>
                <w:iCs/>
              </w:rPr>
              <w:t>Malawi Bureau of Standards</w:t>
            </w:r>
          </w:p>
          <w:p w14:paraId="4F8DE882">
            <w:pPr>
              <w:rPr>
                <w:iCs/>
              </w:rPr>
            </w:pPr>
            <w:r>
              <w:rPr>
                <w:iCs/>
              </w:rPr>
              <w:t>P.O Box 946</w:t>
            </w:r>
          </w:p>
          <w:p w14:paraId="121DAD1A">
            <w:pPr>
              <w:rPr>
                <w:iCs/>
              </w:rPr>
            </w:pPr>
            <w:r>
              <w:rPr>
                <w:iCs/>
              </w:rPr>
              <w:t>Blantyre,Malawi</w:t>
            </w:r>
          </w:p>
          <w:p w14:paraId="17868B2D">
            <w:pPr>
              <w:rPr>
                <w:iCs/>
              </w:rPr>
            </w:pPr>
            <w:r>
              <w:rPr>
                <w:iCs/>
              </w:rPr>
              <w:t>Tel: + 265 887376 444</w:t>
            </w:r>
          </w:p>
          <w:p w14:paraId="1F95F0D3">
            <w:pPr>
              <w:rPr>
                <w:iCs/>
              </w:rPr>
            </w:pPr>
            <w:r>
              <w:rPr>
                <w:iCs/>
              </w:rPr>
              <w:t>Fax: + 265 1870 756</w:t>
            </w:r>
          </w:p>
          <w:p w14:paraId="25643420">
            <w:pPr>
              <w:numPr>
                <w:ilvl w:val="0"/>
                <w:numId w:val="8"/>
              </w:numPr>
              <w:pBdr>
                <w:top w:val="none" w:color="auto" w:sz="0" w:space="4"/>
                <w:bottom w:val="none" w:color="auto" w:sz="0" w:space="4"/>
              </w:pBdr>
              <w:rPr>
                <w:iCs/>
                <w:color w:val="0000FF"/>
                <w:u w:val="single"/>
              </w:rPr>
            </w:pPr>
            <w:r>
              <w:rPr>
                <w:iCs/>
              </w:rPr>
              <w:t xml:space="preserve">mail: </w:t>
            </w:r>
            <w:r>
              <w:fldChar w:fldCharType="begin"/>
            </w:r>
            <w:r>
              <w:instrText xml:space="preserve"> HYPERLINK "mailto:info@mbsmw.org" </w:instrText>
            </w:r>
            <w:r>
              <w:fldChar w:fldCharType="separate"/>
            </w:r>
            <w:r>
              <w:rPr>
                <w:iCs/>
                <w:color w:val="0000FF"/>
                <w:u w:val="single"/>
              </w:rPr>
              <w:t>info@mbsmw.org</w:t>
            </w:r>
            <w:r>
              <w:rPr>
                <w:iCs/>
                <w:color w:val="0000FF"/>
                <w:u w:val="single"/>
              </w:rPr>
              <w:fldChar w:fldCharType="end"/>
            </w:r>
          </w:p>
          <w:p w14:paraId="23F70027">
            <w:pPr>
              <w:pBdr>
                <w:top w:val="none" w:color="auto" w:sz="0" w:space="4"/>
                <w:bottom w:val="none" w:color="auto" w:sz="0" w:space="4"/>
              </w:pBdr>
            </w:pPr>
          </w:p>
          <w:p w14:paraId="67E96701">
            <w:pPr>
              <w:pBdr>
                <w:top w:val="none" w:color="auto" w:sz="0" w:space="4"/>
                <w:bottom w:val="none" w:color="auto" w:sz="0" w:space="4"/>
              </w:pBdr>
              <w:rPr>
                <w:iCs/>
              </w:rPr>
            </w:pPr>
            <w:r>
              <w:fldChar w:fldCharType="begin"/>
            </w:r>
            <w:r>
              <w:instrText xml:space="preserve"> HYPERLINK "https://members.wto.org/crnattachments/2025/TBT/MWI/25_04759_00_e.pdf" \t "_blank" </w:instrText>
            </w:r>
            <w:r>
              <w:fldChar w:fldCharType="separate"/>
            </w:r>
            <w:r>
              <w:rPr>
                <w:iCs/>
                <w:color w:val="0000FF"/>
                <w:u w:val="single"/>
              </w:rPr>
              <w:t>https://members.wto.org/crnattachments/2025/TBT/MWI/25_04759_00_e.pdf</w:t>
            </w:r>
            <w:r>
              <w:rPr>
                <w:iCs/>
                <w:color w:val="0000FF"/>
                <w:u w:val="single"/>
              </w:rPr>
              <w:fldChar w:fldCharType="end"/>
            </w:r>
          </w:p>
          <w:p w14:paraId="370D4B37">
            <w:pPr>
              <w:keepNext/>
              <w:keepLines/>
              <w:numPr>
                <w:ilvl w:val="0"/>
                <w:numId w:val="0"/>
              </w:numPr>
              <w:pBdr>
                <w:top w:val="none" w:color="auto" w:sz="0" w:space="4"/>
              </w:pBdr>
              <w:spacing w:after="120"/>
              <w:jc w:val="both"/>
              <w:rPr>
                <w:iCs/>
                <w:color w:val="0000FF"/>
                <w:u w:val="single"/>
              </w:rPr>
            </w:pPr>
          </w:p>
        </w:tc>
      </w:tr>
    </w:tbl>
    <w:p w14:paraId="5B27150C"/>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A6DE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D2B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FE5A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6BD73">
    <w:pPr>
      <w:pStyle w:val="58"/>
      <w:pBdr>
        <w:bottom w:val="single" w:color="auto" w:sz="4" w:space="1"/>
      </w:pBdr>
      <w:tabs>
        <w:tab w:val="clear" w:pos="4513"/>
        <w:tab w:val="clear" w:pos="9027"/>
      </w:tabs>
      <w:jc w:val="center"/>
    </w:pPr>
    <w:bookmarkStart w:id="9" w:name="spsSymbolHeader"/>
    <w:r>
      <w:t>G/TBT/N/MWI/191</w:t>
    </w:r>
    <w:bookmarkEnd w:id="9"/>
  </w:p>
  <w:p w14:paraId="7F5ECDE6">
    <w:pPr>
      <w:pStyle w:val="58"/>
      <w:pBdr>
        <w:bottom w:val="single" w:color="auto" w:sz="4" w:space="1"/>
      </w:pBdr>
      <w:tabs>
        <w:tab w:val="clear" w:pos="4513"/>
        <w:tab w:val="clear" w:pos="9027"/>
      </w:tabs>
      <w:jc w:val="center"/>
    </w:pPr>
  </w:p>
  <w:p w14:paraId="730DEAA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7F13EC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D912B">
    <w:pPr>
      <w:pStyle w:val="58"/>
      <w:pBdr>
        <w:bottom w:val="single" w:color="auto" w:sz="4" w:space="1"/>
      </w:pBdr>
      <w:tabs>
        <w:tab w:val="clear" w:pos="4513"/>
        <w:tab w:val="clear" w:pos="9027"/>
      </w:tabs>
      <w:jc w:val="center"/>
    </w:pPr>
    <w:r>
      <w:t>tbtSymbol</w:t>
    </w:r>
  </w:p>
  <w:p w14:paraId="2276F7F0">
    <w:pPr>
      <w:pStyle w:val="58"/>
      <w:pBdr>
        <w:bottom w:val="single" w:color="auto" w:sz="4" w:space="1"/>
      </w:pBdr>
      <w:tabs>
        <w:tab w:val="clear" w:pos="4513"/>
        <w:tab w:val="clear" w:pos="9027"/>
      </w:tabs>
      <w:jc w:val="center"/>
    </w:pPr>
  </w:p>
  <w:p w14:paraId="4912797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4C9DA4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56EEA2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2E7FF5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93B5D15">
          <w:pPr>
            <w:jc w:val="right"/>
            <w:rPr>
              <w:b/>
              <w:color w:val="FF0000"/>
              <w:szCs w:val="16"/>
            </w:rPr>
          </w:pPr>
        </w:p>
      </w:tc>
    </w:tr>
    <w:bookmarkEnd w:id="0"/>
    <w:tr w14:paraId="46F70A9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B18D32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2692681">
          <w:pPr>
            <w:jc w:val="right"/>
            <w:rPr>
              <w:b/>
              <w:szCs w:val="16"/>
            </w:rPr>
          </w:pPr>
        </w:p>
      </w:tc>
    </w:tr>
    <w:tr w14:paraId="48EEC0A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E5D1F24">
          <w:pPr>
            <w:jc w:val="left"/>
            <w:rPr>
              <w:lang w:eastAsia="en-GB"/>
            </w:rPr>
          </w:pPr>
        </w:p>
      </w:tc>
      <w:tc>
        <w:tcPr>
          <w:tcW w:w="5448" w:type="dxa"/>
          <w:gridSpan w:val="2"/>
          <w:shd w:val="clear" w:color="auto" w:fill="FFFFFF"/>
          <w:tcMar>
            <w:left w:w="108" w:type="dxa"/>
            <w:right w:w="108" w:type="dxa"/>
          </w:tcMar>
        </w:tcPr>
        <w:p w14:paraId="25805FFA">
          <w:pPr>
            <w:jc w:val="right"/>
            <w:rPr>
              <w:rFonts w:hint="eastAsia" w:eastAsia="宋体"/>
              <w:b/>
              <w:szCs w:val="16"/>
              <w:lang w:val="en-US" w:eastAsia="zh-CN"/>
            </w:rPr>
          </w:pPr>
          <w:bookmarkStart w:id="1" w:name="bmkSymbols"/>
          <w:r>
            <w:rPr>
              <w:b/>
              <w:szCs w:val="16"/>
            </w:rPr>
            <w:t>G/TBT/N/MWI/</w:t>
          </w:r>
          <w:r>
            <w:rPr>
              <w:rFonts w:hint="eastAsia" w:eastAsia="宋体"/>
              <w:b/>
              <w:szCs w:val="16"/>
              <w:lang w:val="en-US" w:eastAsia="zh-CN"/>
            </w:rPr>
            <w:t>2</w:t>
          </w:r>
          <w:bookmarkEnd w:id="1"/>
          <w:r>
            <w:rPr>
              <w:rFonts w:hint="eastAsia" w:eastAsia="宋体"/>
              <w:b/>
              <w:szCs w:val="16"/>
              <w:lang w:val="en-US" w:eastAsia="zh-CN"/>
            </w:rPr>
            <w:t>22</w:t>
          </w:r>
        </w:p>
      </w:tc>
    </w:tr>
    <w:tr w14:paraId="72C6D26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A60ACEB"/>
      </w:tc>
      <w:tc>
        <w:tcPr>
          <w:tcW w:w="5448" w:type="dxa"/>
          <w:gridSpan w:val="2"/>
          <w:shd w:val="clear" w:color="auto" w:fill="FFFFFF"/>
          <w:tcMar>
            <w:left w:w="108" w:type="dxa"/>
            <w:right w:w="108" w:type="dxa"/>
          </w:tcMar>
          <w:vAlign w:val="center"/>
        </w:tcPr>
        <w:p w14:paraId="39D67156">
          <w:pPr>
            <w:jc w:val="right"/>
            <w:rPr>
              <w:szCs w:val="16"/>
            </w:rPr>
          </w:pPr>
          <w:bookmarkStart w:id="2" w:name="spsDateDistribution"/>
          <w:bookmarkStart w:id="3" w:name="bmkDate"/>
          <w:r>
            <w:rPr>
              <w:szCs w:val="16"/>
            </w:rPr>
            <w:t>23 July 2025</w:t>
          </w:r>
          <w:bookmarkEnd w:id="2"/>
          <w:bookmarkEnd w:id="3"/>
        </w:p>
      </w:tc>
    </w:tr>
    <w:tr w14:paraId="5B583C6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0826AF2">
          <w:pPr>
            <w:jc w:val="left"/>
            <w:rPr>
              <w:b/>
            </w:rPr>
          </w:pPr>
          <w:bookmarkStart w:id="4" w:name="bmkSerial"/>
          <w:r>
            <w:rPr>
              <w:b w:val="0"/>
              <w:color w:val="FF0000"/>
            </w:rPr>
            <w:t>(25-</w:t>
          </w:r>
          <w:r>
            <w:rPr>
              <w:rFonts w:hint="eastAsia" w:eastAsia="宋体"/>
              <w:b w:val="0"/>
              <w:color w:val="FF0000"/>
              <w:lang w:val="en-US" w:eastAsia="zh-CN"/>
            </w:rPr>
            <w:t>4723</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64DA24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2F6FCD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31188B1">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2B5C94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84D79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72AAE4"/>
    <w:multiLevelType w:val="singleLevel"/>
    <w:tmpl w:val="B372AAE4"/>
    <w:lvl w:ilvl="0" w:tentative="0">
      <w:start w:val="5"/>
      <w:numFmt w:val="upperLetter"/>
      <w:suff w:val="nothing"/>
      <w:lvlText w:val="%1-"/>
      <w:lvlJc w:val="left"/>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B3961"/>
    <w:rsid w:val="001E291F"/>
    <w:rsid w:val="00204CC3"/>
    <w:rsid w:val="00205F1B"/>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20D2"/>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A2E"/>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2280"/>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1F41"/>
    <w:rsid w:val="00C3241C"/>
    <w:rsid w:val="00C379C8"/>
    <w:rsid w:val="00C40E47"/>
    <w:rsid w:val="00C43456"/>
    <w:rsid w:val="00C43F2C"/>
    <w:rsid w:val="00C46583"/>
    <w:rsid w:val="00C47FCA"/>
    <w:rsid w:val="00C51B50"/>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9FD3055"/>
    <w:rsid w:val="11A91090"/>
    <w:rsid w:val="271C2E32"/>
    <w:rsid w:val="276F5B41"/>
    <w:rsid w:val="3E761725"/>
    <w:rsid w:val="4E902E4B"/>
    <w:rsid w:val="579C6EAE"/>
    <w:rsid w:val="76FF73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52AF7-CC45-4544-ABF0-B16A717200BC}">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567</Words>
  <Characters>3210</Characters>
  <Lines>23</Lines>
  <Paragraphs>6</Paragraphs>
  <TotalTime>0</TotalTime>
  <ScaleCrop>false</ScaleCrop>
  <LinksUpToDate>false</LinksUpToDate>
  <CharactersWithSpaces>3720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2025-06-10T14:13:00Z</dcterms:created>
  <dc:creator>mark louie medidas</dc:creator>
  <dc:description>LDIMD - DTU</dc:description>
  <cp:lastModifiedBy> 譞譞</cp:lastModifiedBy>
  <dcterms:modified xsi:type="dcterms:W3CDTF">2025-07-23T16:50:25Z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A4DFA33984334C98BDC7C25919D49BD8_12</vt:lpwstr>
  </property>
</Properties>
</file>