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Cereal grains otherwise worked, e.g. hulled, rolled, flaked, pearled, sliced or kibbled; germ of cereals, whole, rolled, flaked or ground (excl. cereal flours, and husked and semi- or wholly milled rice and broken rice) (HS code(s): 1104); Cereals, pulses and derived products (ICS code(s): 67.060)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4EB896FA">
            <w:pPr>
              <w:spacing w:before="120" w:after="120"/>
            </w:pPr>
            <w:r>
              <w:rPr>
                <w:b/>
              </w:rPr>
              <w:t>Title, number of pages and language(s) of the notified document:</w:t>
            </w:r>
            <w:r>
              <w:t xml:space="preserve"> DMS 229:2024 Breakfast cereals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requirements, sampling and test methods for fresh green beans of varieties (cultivars) grown from </w:t>
            </w:r>
            <w:r>
              <w:rPr>
                <w:i/>
                <w:iCs/>
              </w:rPr>
              <w:t xml:space="preserve">Phaseolus vulgaris </w:t>
            </w:r>
            <w:r>
              <w:t xml:space="preserve">L. and </w:t>
            </w:r>
            <w:r>
              <w:rPr>
                <w:i/>
                <w:iCs/>
              </w:rPr>
              <w:t xml:space="preserve">Phaseolus coccineus </w:t>
            </w:r>
            <w:r>
              <w:t>L. to be supplied fresh to the consumer. It does not include beans for shelling or Industrial processing.</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6D05915">
            <w:pPr>
              <w:spacing w:before="120" w:after="120"/>
              <w:rPr>
                <w:bCs/>
              </w:rPr>
            </w:pPr>
            <w:r>
              <w:rPr>
                <w:b/>
              </w:rPr>
              <w:t>Relevant documents:</w:t>
            </w:r>
            <w:r>
              <w:t xml:space="preserve"> </w:t>
            </w:r>
          </w:p>
          <w:p w14:paraId="177B2449">
            <w:pPr>
              <w:numPr>
                <w:ilvl w:val="0"/>
                <w:numId w:val="7"/>
              </w:numPr>
              <w:spacing w:before="120" w:after="120"/>
            </w:pPr>
            <w:r>
              <w:t xml:space="preserve">MS 19-1: </w:t>
            </w:r>
            <w:r>
              <w:rPr>
                <w:i/>
                <w:iCs/>
              </w:rPr>
              <w:t>Labeling of foods – General standard, Part 1: Prepackaged foods</w:t>
            </w:r>
          </w:p>
          <w:p w14:paraId="26251CD2">
            <w:pPr>
              <w:numPr>
                <w:ilvl w:val="0"/>
                <w:numId w:val="7"/>
              </w:numPr>
              <w:spacing w:before="120" w:after="120"/>
            </w:pPr>
            <w:r>
              <w:t>MS 19-2:</w:t>
            </w:r>
            <w:r>
              <w:rPr>
                <w:i/>
                <w:iCs/>
              </w:rPr>
              <w:t xml:space="preserve"> Labelling of foods – General standard, Part 2: Non-retail containers of food</w:t>
            </w:r>
          </w:p>
          <w:p w14:paraId="2BFABBC6">
            <w:pPr>
              <w:numPr>
                <w:ilvl w:val="0"/>
                <w:numId w:val="7"/>
              </w:numPr>
              <w:spacing w:before="120" w:after="120"/>
            </w:pPr>
            <w:r>
              <w:t>MS 21:</w:t>
            </w:r>
            <w:r>
              <w:rPr>
                <w:i/>
                <w:iCs/>
              </w:rPr>
              <w:t xml:space="preserve"> Food and food processing units – Code of hygienic conditions</w:t>
            </w:r>
          </w:p>
          <w:p w14:paraId="11A289F3">
            <w:pPr>
              <w:numPr>
                <w:ilvl w:val="0"/>
                <w:numId w:val="7"/>
              </w:numPr>
              <w:spacing w:before="120" w:after="120"/>
            </w:pPr>
            <w:r>
              <w:t xml:space="preserve">MS 145: </w:t>
            </w:r>
            <w:r>
              <w:rPr>
                <w:i/>
                <w:iCs/>
              </w:rPr>
              <w:t>Cereal and cereal products – Sampling</w:t>
            </w:r>
          </w:p>
          <w:p w14:paraId="40F66BDC">
            <w:pPr>
              <w:numPr>
                <w:ilvl w:val="0"/>
                <w:numId w:val="7"/>
              </w:numPr>
              <w:spacing w:before="120" w:after="120"/>
            </w:pPr>
            <w:r>
              <w:rPr>
                <w:i/>
                <w:iCs/>
              </w:rPr>
              <w:t>MS 149: Cereals, pulses and by-products – Determination of ash yield by incineration</w:t>
            </w:r>
          </w:p>
          <w:p w14:paraId="6A55E30B">
            <w:pPr>
              <w:numPr>
                <w:ilvl w:val="0"/>
                <w:numId w:val="7"/>
              </w:numPr>
              <w:spacing w:before="120" w:after="120"/>
            </w:pPr>
            <w:r>
              <w:t xml:space="preserve">MS 237: </w:t>
            </w:r>
            <w:r>
              <w:rPr>
                <w:i/>
                <w:iCs/>
              </w:rPr>
              <w:t>Food additives</w:t>
            </w:r>
            <w:r>
              <w:t xml:space="preserve"> – </w:t>
            </w:r>
            <w:r>
              <w:rPr>
                <w:i/>
                <w:iCs/>
              </w:rPr>
              <w:t>General standard</w:t>
            </w:r>
          </w:p>
          <w:p w14:paraId="08C5E08B">
            <w:pPr>
              <w:numPr>
                <w:ilvl w:val="0"/>
                <w:numId w:val="7"/>
              </w:numPr>
              <w:spacing w:before="120" w:after="120"/>
            </w:pPr>
            <w:r>
              <w:t xml:space="preserve">MS 302: </w:t>
            </w:r>
            <w:r>
              <w:rPr>
                <w:i/>
                <w:iCs/>
              </w:rPr>
              <w:t>Contaminants and toxins in food and feed – General standard</w:t>
            </w:r>
          </w:p>
          <w:p w14:paraId="61A3F3B5">
            <w:pPr>
              <w:numPr>
                <w:ilvl w:val="0"/>
                <w:numId w:val="7"/>
              </w:numPr>
              <w:spacing w:before="120" w:after="120"/>
            </w:pPr>
            <w:r>
              <w:t>MS 610-1:</w:t>
            </w:r>
            <w:r>
              <w:rPr>
                <w:i/>
                <w:iCs/>
              </w:rPr>
              <w:t xml:space="preserve"> Cereals and cereal products – Determination of moisture content – Part 1: Reference method</w:t>
            </w:r>
          </w:p>
          <w:p w14:paraId="09A87659">
            <w:pPr>
              <w:numPr>
                <w:ilvl w:val="0"/>
                <w:numId w:val="7"/>
              </w:numPr>
              <w:spacing w:before="120" w:after="120"/>
            </w:pPr>
            <w:r>
              <w:rPr>
                <w:i/>
                <w:iCs/>
              </w:rPr>
              <w:t>MS 624: Nutrition labeling – Guidelines</w:t>
            </w:r>
          </w:p>
          <w:p w14:paraId="5E2BEB94">
            <w:pPr>
              <w:numPr>
                <w:ilvl w:val="0"/>
                <w:numId w:val="7"/>
              </w:numPr>
              <w:spacing w:before="120" w:after="120"/>
            </w:pPr>
            <w:r>
              <w:t xml:space="preserve">MS 625: </w:t>
            </w:r>
            <w:r>
              <w:rPr>
                <w:i/>
                <w:iCs/>
              </w:rPr>
              <w:t>Use of nutrition and health claims – Requirements</w:t>
            </w:r>
          </w:p>
          <w:p w14:paraId="66D93C4C">
            <w:pPr>
              <w:numPr>
                <w:ilvl w:val="0"/>
                <w:numId w:val="7"/>
              </w:numPr>
              <w:spacing w:before="120" w:after="120"/>
            </w:pPr>
            <w:r>
              <w:t>MS 1786: Milled cereal products – Determination of fat acidity</w:t>
            </w:r>
          </w:p>
          <w:p w14:paraId="6DE2601C">
            <w:pPr>
              <w:numPr>
                <w:ilvl w:val="0"/>
                <w:numId w:val="7"/>
              </w:numPr>
              <w:spacing w:before="120" w:after="120"/>
            </w:pPr>
            <w:r>
              <w:t>ISO 65710-1:</w:t>
            </w:r>
            <w:r>
              <w:rPr>
                <w:i/>
                <w:iCs/>
              </w:rPr>
              <w:t xml:space="preserve"> Microbiology of the food chain – Horizontal method for the detection, enumeration and serotyping of Salmonella – Part 1: Detection of Salmonella spp.</w:t>
            </w:r>
          </w:p>
          <w:p w14:paraId="726CD1A9">
            <w:pPr>
              <w:numPr>
                <w:ilvl w:val="0"/>
                <w:numId w:val="7"/>
              </w:numPr>
              <w:spacing w:before="120" w:after="120"/>
            </w:pPr>
            <w:r>
              <w:t xml:space="preserve">ISO 16050: </w:t>
            </w:r>
            <w:r>
              <w:rPr>
                <w:i/>
                <w:iCs/>
              </w:rPr>
              <w:t>Foodstuffs – Determination of aflatoxin B1, and the total content of aflatoxin B1, B2, G1 and G2 in cereals, nuts and derived products – High performance liquid chromatographic method</w:t>
            </w:r>
          </w:p>
          <w:p w14:paraId="6F15C1D8">
            <w:pPr>
              <w:numPr>
                <w:ilvl w:val="0"/>
                <w:numId w:val="7"/>
              </w:numPr>
              <w:spacing w:before="120" w:after="120"/>
            </w:pPr>
            <w:r>
              <w:t xml:space="preserve">ISO 166410-2: </w:t>
            </w:r>
            <w:r>
              <w:rPr>
                <w:i/>
                <w:iCs/>
              </w:rPr>
              <w:t>Microbiology of food and animal feeding stuffs – Horizontal method for the enumeration of betaglucuronidase-positive Escherichia coli – Part 2: Colony-count technique at 44 degrees C using 5-bromo-4- chloro-3-indolyl beta-D-glucuronide</w:t>
            </w:r>
          </w:p>
          <w:p w14:paraId="15988E7C">
            <w:pPr>
              <w:numPr>
                <w:ilvl w:val="0"/>
                <w:numId w:val="7"/>
              </w:numPr>
              <w:spacing w:before="120" w:after="120"/>
            </w:pPr>
            <w:r>
              <w:t xml:space="preserve">ISO 21527-2: </w:t>
            </w:r>
            <w:r>
              <w:rPr>
                <w:i/>
                <w:iCs/>
              </w:rPr>
              <w:t>Microbiology of food and animal feedstuffs – Horizontal method for the enumeration of yeasts and moulds – Part 2: Colony count technique in products with water activity less than or equal to 0.105</w:t>
            </w:r>
          </w:p>
          <w:p w14:paraId="127DEFC6">
            <w:pPr>
              <w:numPr>
                <w:ilvl w:val="0"/>
                <w:numId w:val="7"/>
              </w:numPr>
              <w:spacing w:before="120" w:after="120"/>
              <w:ind w:left="720" w:leftChars="0" w:hanging="360" w:firstLineChars="0"/>
            </w:pPr>
            <w:r>
              <w:t>ISO 6888-1:</w:t>
            </w:r>
            <w:r>
              <w:rPr>
                <w:i/>
                <w:iCs/>
              </w:rPr>
              <w:t xml:space="preserve"> Microbiology of the food chain – Horizontal method for the enumeration of coagulase-positive staphylococci (Staphylococcus aureus and other species), Part 1: Method using Baird-Parker agar medium</w:t>
            </w:r>
          </w:p>
        </w:tc>
      </w:tr>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1BC91955">
            <w:pPr>
              <w:pBdr>
                <w:top w:val="none" w:color="auto" w:sz="0" w:space="4"/>
                <w:bottom w:val="none" w:color="auto" w:sz="0" w:space="4"/>
              </w:pBdr>
              <w:rPr>
                <w:iCs/>
              </w:rPr>
            </w:pPr>
            <w:r>
              <w:fldChar w:fldCharType="begin"/>
            </w:r>
            <w:r>
              <w:instrText xml:space="preserve"> HYPERLINK "https://members.wto.org/crnattachments/2025/TBT/MWI/25_04757_00_e.pdf" \t "_blank" </w:instrText>
            </w:r>
            <w:r>
              <w:fldChar w:fldCharType="separate"/>
            </w:r>
            <w:r>
              <w:rPr>
                <w:iCs/>
                <w:color w:val="0000FF"/>
                <w:u w:val="single"/>
              </w:rPr>
              <w:t>https://members.wto.org/crnattachments/2025/TBT/MWI/25_04757_00_e.pdf</w:t>
            </w:r>
            <w:r>
              <w:rPr>
                <w:iCs/>
                <w:color w:val="0000FF"/>
                <w:u w:val="single"/>
              </w:rPr>
              <w:fldChar w:fldCharType="end"/>
            </w:r>
          </w:p>
          <w:p w14:paraId="2DCCAF69">
            <w:pPr>
              <w:keepNext/>
              <w:keepLines/>
              <w:numPr>
                <w:ilvl w:val="0"/>
                <w:numId w:val="0"/>
              </w:numPr>
              <w:pBdr>
                <w:top w:val="none" w:color="auto" w:sz="0" w:space="4"/>
              </w:pBdr>
              <w:spacing w:after="120"/>
              <w:jc w:val="both"/>
              <w:rPr>
                <w:iCs/>
                <w:color w:val="0000FF"/>
                <w:u w:val="single"/>
              </w:rPr>
            </w:pPr>
          </w:p>
        </w:tc>
      </w:tr>
    </w:tbl>
    <w:p w14:paraId="5A9FBA1F"/>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20</w:t>
          </w:r>
          <w:bookmarkStart w:id="10" w:name="_GoBack"/>
          <w:bookmarkEnd w:id="10"/>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bmkDate"/>
          <w:bookmarkStart w:id="3" w:name="spsDateDistribution"/>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4721</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71C2E32"/>
    <w:rsid w:val="276F5B41"/>
    <w:rsid w:val="3E761725"/>
    <w:rsid w:val="4E902E4B"/>
    <w:rsid w:val="579C6EAE"/>
    <w:rsid w:val="76FF7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52AF7-CC45-4544-ABF0-B16A717200BC}">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502</Words>
  <Characters>2845</Characters>
  <Lines>23</Lines>
  <Paragraphs>6</Paragraphs>
  <TotalTime>0</TotalTime>
  <ScaleCrop>false</ScaleCrop>
  <LinksUpToDate>false</LinksUpToDate>
  <CharactersWithSpaces>3298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2025-07-23T16:44:25Z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