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B10D0">
      <w:pPr>
        <w:pStyle w:val="84"/>
        <w:rPr>
          <w:caps w:val="0"/>
          <w:kern w:val="0"/>
        </w:rPr>
      </w:pPr>
      <w:r>
        <w:rPr>
          <w:caps w:val="0"/>
          <w:kern w:val="0"/>
        </w:rPr>
        <w:t>NOTIFICATION</w:t>
      </w:r>
    </w:p>
    <w:p w14:paraId="7920C9B6">
      <w:pPr>
        <w:jc w:val="center"/>
      </w:pPr>
      <w:r>
        <w:t>The following notification is being circulated in accordance with Article 10.6</w:t>
      </w:r>
    </w:p>
    <w:p w14:paraId="79E7364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7096E4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36199EF4">
            <w:pPr>
              <w:spacing w:before="120" w:after="120"/>
              <w:jc w:val="left"/>
            </w:pPr>
            <w:r>
              <w:rPr>
                <w:b/>
              </w:rPr>
              <w:t>1.</w:t>
            </w:r>
          </w:p>
        </w:tc>
        <w:tc>
          <w:tcPr>
            <w:tcW w:w="8546" w:type="dxa"/>
            <w:tcBorders>
              <w:bottom w:val="single" w:color="auto" w:sz="6" w:space="0"/>
            </w:tcBorders>
            <w:shd w:val="clear" w:color="auto" w:fill="auto"/>
          </w:tcPr>
          <w:p w14:paraId="0FF3BECD">
            <w:pPr>
              <w:spacing w:before="120" w:after="120"/>
            </w:pPr>
            <w:r>
              <w:rPr>
                <w:b/>
              </w:rPr>
              <w:t>Notifying Member:</w:t>
            </w:r>
            <w:r>
              <w:t xml:space="preserve"> </w:t>
            </w:r>
            <w:r>
              <w:rPr>
                <w:u w:val="single"/>
              </w:rPr>
              <w:t>MALAWI</w:t>
            </w:r>
          </w:p>
          <w:p w14:paraId="14EB6EE1">
            <w:pPr>
              <w:spacing w:after="120"/>
            </w:pPr>
            <w:r>
              <w:rPr>
                <w:b/>
              </w:rPr>
              <w:t>If applicable, name of local government involved (Article 3.2 and 7.2):</w:t>
            </w:r>
            <w:r>
              <w:t xml:space="preserve"> </w:t>
            </w:r>
          </w:p>
        </w:tc>
      </w:tr>
      <w:tr w14:paraId="0C3148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FD77627">
            <w:pPr>
              <w:spacing w:before="120" w:after="120"/>
              <w:jc w:val="left"/>
            </w:pPr>
            <w:r>
              <w:rPr>
                <w:b/>
              </w:rPr>
              <w:t>2.</w:t>
            </w:r>
          </w:p>
        </w:tc>
        <w:tc>
          <w:tcPr>
            <w:tcW w:w="8546" w:type="dxa"/>
            <w:tcBorders>
              <w:top w:val="single" w:color="auto" w:sz="6" w:space="0"/>
              <w:bottom w:val="single" w:color="auto" w:sz="6" w:space="0"/>
            </w:tcBorders>
            <w:shd w:val="clear" w:color="auto" w:fill="auto"/>
          </w:tcPr>
          <w:p w14:paraId="77DC7508">
            <w:pPr>
              <w:spacing w:before="120" w:after="120"/>
            </w:pPr>
            <w:r>
              <w:rPr>
                <w:b/>
              </w:rPr>
              <w:t>Agency responsible:</w:t>
            </w:r>
            <w:r>
              <w:t xml:space="preserve"> </w:t>
            </w:r>
          </w:p>
          <w:p w14:paraId="2740AFC1">
            <w:pPr>
              <w:spacing w:after="120"/>
            </w:pPr>
            <w:r>
              <w:t>Malawi Bureau of Standards</w:t>
            </w:r>
          </w:p>
          <w:p w14:paraId="3F0DB6F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77445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BADCC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B4141B">
            <w:pPr>
              <w:spacing w:before="120" w:after="120"/>
            </w:pPr>
            <w:r>
              <w:rPr>
                <w:b/>
              </w:rPr>
              <w:t>Notified under Article 2.9.2 [X], 2.10.1 [ ], 5.6.2 [ ], 5.7.1 [ ], 3.2 [ ], 7.2 [ ], other:</w:t>
            </w:r>
            <w:r>
              <w:t xml:space="preserve"> </w:t>
            </w:r>
          </w:p>
        </w:tc>
      </w:tr>
      <w:tr w14:paraId="732FD84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AA4638">
            <w:pPr>
              <w:spacing w:before="120" w:after="120"/>
              <w:jc w:val="left"/>
            </w:pPr>
            <w:r>
              <w:rPr>
                <w:b/>
              </w:rPr>
              <w:t>4.</w:t>
            </w:r>
          </w:p>
        </w:tc>
        <w:tc>
          <w:tcPr>
            <w:tcW w:w="8546" w:type="dxa"/>
            <w:tcBorders>
              <w:top w:val="single" w:color="auto" w:sz="6" w:space="0"/>
              <w:bottom w:val="single" w:color="auto" w:sz="6" w:space="0"/>
            </w:tcBorders>
            <w:shd w:val="clear" w:color="auto" w:fill="auto"/>
          </w:tcPr>
          <w:p w14:paraId="6954BEFD">
            <w:pPr>
              <w:spacing w:before="120" w:after="120"/>
            </w:pPr>
            <w:r>
              <w:rPr>
                <w:b/>
              </w:rPr>
              <w:t>Products covered (HS or CCCN where applicable, otherwise national tariff heading. ICS numbers may be provided in addition, where applicable):</w:t>
            </w:r>
            <w:r>
              <w:t xml:space="preserve"> Sunflower seeds, whether or not broken. (HS code(s): 1206); Oilseeds (ICS code(s): 67.200.20)</w:t>
            </w:r>
          </w:p>
        </w:tc>
      </w:tr>
      <w:tr w14:paraId="34CEF3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D894356">
            <w:pPr>
              <w:spacing w:before="120" w:after="120"/>
              <w:jc w:val="left"/>
            </w:pPr>
            <w:r>
              <w:rPr>
                <w:b/>
              </w:rPr>
              <w:t>5.</w:t>
            </w:r>
          </w:p>
        </w:tc>
        <w:tc>
          <w:tcPr>
            <w:tcW w:w="8546" w:type="dxa"/>
            <w:tcBorders>
              <w:top w:val="single" w:color="auto" w:sz="6" w:space="0"/>
              <w:bottom w:val="single" w:color="auto" w:sz="6" w:space="0"/>
            </w:tcBorders>
            <w:shd w:val="clear" w:color="auto" w:fill="auto"/>
          </w:tcPr>
          <w:p w14:paraId="3D311671">
            <w:pPr>
              <w:spacing w:before="120" w:after="120"/>
            </w:pPr>
            <w:r>
              <w:rPr>
                <w:b/>
              </w:rPr>
              <w:t>Title, number of pages and language(s) of the notified document:</w:t>
            </w:r>
            <w:r>
              <w:t xml:space="preserve"> DMS 415:2024: Sunflower seed – Specification; (4 page(s), in English), (0 page(s), in English)</w:t>
            </w:r>
          </w:p>
        </w:tc>
      </w:tr>
      <w:tr w14:paraId="55E359F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2677A09">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56C16F9A">
            <w:pPr>
              <w:spacing w:before="120" w:after="120"/>
              <w:rPr>
                <w:b/>
              </w:rPr>
            </w:pPr>
            <w:r>
              <w:rPr>
                <w:b/>
              </w:rPr>
              <w:t>Description of content:</w:t>
            </w:r>
            <w:r>
              <w:t xml:space="preserve"> This draft Malawi standard specifies the requirements, sampling and test methods for sunflower seed (</w:t>
            </w:r>
            <w:r>
              <w:rPr>
                <w:i/>
                <w:iCs/>
              </w:rPr>
              <w:t>Helianthus</w:t>
            </w:r>
            <w:r>
              <w:t xml:space="preserve"> </w:t>
            </w:r>
            <w:r>
              <w:rPr>
                <w:i/>
                <w:iCs/>
              </w:rPr>
              <w:t xml:space="preserve">annuus </w:t>
            </w:r>
            <w:r>
              <w:t>L.) for further processing.</w:t>
            </w:r>
          </w:p>
        </w:tc>
      </w:tr>
      <w:tr w14:paraId="727FC8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DFF1C3F">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0EEB4341">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Reducing trade barriers and facilitating trade</w:t>
            </w:r>
          </w:p>
        </w:tc>
      </w:tr>
      <w:tr w14:paraId="3009B54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2B2BEC07">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4F0AA215">
            <w:pPr>
              <w:spacing w:before="120" w:after="120"/>
              <w:rPr>
                <w:bCs/>
              </w:rPr>
            </w:pPr>
            <w:r>
              <w:rPr>
                <w:b/>
              </w:rPr>
              <w:t>Relevant documents:</w:t>
            </w:r>
            <w:r>
              <w:t xml:space="preserve"> </w:t>
            </w:r>
          </w:p>
          <w:p w14:paraId="5F0589BD">
            <w:pPr>
              <w:numPr>
                <w:ilvl w:val="0"/>
                <w:numId w:val="7"/>
              </w:numPr>
              <w:spacing w:before="120" w:after="120"/>
            </w:pPr>
            <w:r>
              <w:t xml:space="preserve">MS 19-1: </w:t>
            </w:r>
            <w:r>
              <w:rPr>
                <w:i/>
                <w:iCs/>
              </w:rPr>
              <w:t>Labeling of foods – General standard, Part 1: Prepackaged foods</w:t>
            </w:r>
          </w:p>
          <w:p w14:paraId="7281FAB6">
            <w:pPr>
              <w:numPr>
                <w:ilvl w:val="0"/>
                <w:numId w:val="7"/>
              </w:numPr>
              <w:spacing w:before="120" w:after="120"/>
            </w:pPr>
            <w:r>
              <w:t>MS 19-2:</w:t>
            </w:r>
            <w:r>
              <w:rPr>
                <w:i/>
                <w:iCs/>
              </w:rPr>
              <w:t xml:space="preserve"> Labelling of foods – General standard, Part 2: Non-retail containers of food</w:t>
            </w:r>
          </w:p>
          <w:p w14:paraId="7F7C1D43">
            <w:pPr>
              <w:numPr>
                <w:ilvl w:val="0"/>
                <w:numId w:val="7"/>
              </w:numPr>
              <w:spacing w:before="120" w:after="120"/>
            </w:pPr>
            <w:r>
              <w:t>MS 21:</w:t>
            </w:r>
            <w:r>
              <w:rPr>
                <w:i/>
                <w:iCs/>
              </w:rPr>
              <w:t xml:space="preserve"> Food and food processing units – Code of hygienic condition</w:t>
            </w:r>
          </w:p>
          <w:p w14:paraId="577B8B00">
            <w:pPr>
              <w:numPr>
                <w:ilvl w:val="0"/>
                <w:numId w:val="7"/>
              </w:numPr>
              <w:spacing w:before="120" w:after="120"/>
            </w:pPr>
            <w:r>
              <w:t xml:space="preserve">MS 145: </w:t>
            </w:r>
            <w:r>
              <w:rPr>
                <w:i/>
                <w:iCs/>
              </w:rPr>
              <w:t>Cereal and cereal products – Sampling</w:t>
            </w:r>
          </w:p>
          <w:p w14:paraId="39905BFD">
            <w:pPr>
              <w:numPr>
                <w:ilvl w:val="0"/>
                <w:numId w:val="7"/>
              </w:numPr>
              <w:spacing w:before="120" w:after="120"/>
            </w:pPr>
            <w:r>
              <w:rPr>
                <w:i/>
                <w:iCs/>
              </w:rPr>
              <w:t>MS 149: Cereals, pulses and by-products – Determination of ash yield by incineration</w:t>
            </w:r>
          </w:p>
          <w:p w14:paraId="7225BC58">
            <w:pPr>
              <w:numPr>
                <w:ilvl w:val="0"/>
                <w:numId w:val="7"/>
              </w:numPr>
              <w:spacing w:before="120" w:after="120"/>
            </w:pPr>
            <w:r>
              <w:t xml:space="preserve">MS 237: </w:t>
            </w:r>
            <w:r>
              <w:rPr>
                <w:i/>
                <w:iCs/>
              </w:rPr>
              <w:t>Food additives</w:t>
            </w:r>
            <w:r>
              <w:t xml:space="preserve"> – </w:t>
            </w:r>
            <w:r>
              <w:rPr>
                <w:i/>
                <w:iCs/>
              </w:rPr>
              <w:t>General standard</w:t>
            </w:r>
          </w:p>
          <w:p w14:paraId="2CB76817">
            <w:pPr>
              <w:numPr>
                <w:ilvl w:val="0"/>
                <w:numId w:val="7"/>
              </w:numPr>
              <w:spacing w:before="120" w:after="120"/>
            </w:pPr>
            <w:r>
              <w:t xml:space="preserve">MS 302: </w:t>
            </w:r>
            <w:r>
              <w:rPr>
                <w:i/>
                <w:iCs/>
              </w:rPr>
              <w:t>Contaminants and toxins in food and feed – General standard</w:t>
            </w:r>
          </w:p>
          <w:p w14:paraId="13211865">
            <w:pPr>
              <w:numPr>
                <w:ilvl w:val="0"/>
                <w:numId w:val="7"/>
              </w:numPr>
              <w:spacing w:before="120" w:after="120"/>
            </w:pPr>
            <w:r>
              <w:t>MS 610-1:</w:t>
            </w:r>
            <w:r>
              <w:rPr>
                <w:i/>
                <w:iCs/>
              </w:rPr>
              <w:t xml:space="preserve"> Cereals and cereal products – Determination of moisture content – Part 1: Reference method</w:t>
            </w:r>
          </w:p>
          <w:p w14:paraId="77B18C97">
            <w:pPr>
              <w:numPr>
                <w:ilvl w:val="0"/>
                <w:numId w:val="7"/>
              </w:numPr>
              <w:spacing w:before="120" w:after="120"/>
            </w:pPr>
            <w:r>
              <w:rPr>
                <w:i/>
                <w:iCs/>
              </w:rPr>
              <w:t>MS 624: Nutrition labeling – Guidelines</w:t>
            </w:r>
          </w:p>
          <w:p w14:paraId="716B7C02">
            <w:pPr>
              <w:numPr>
                <w:ilvl w:val="0"/>
                <w:numId w:val="7"/>
              </w:numPr>
              <w:spacing w:before="120" w:after="120"/>
            </w:pPr>
            <w:r>
              <w:t xml:space="preserve">MS 625: </w:t>
            </w:r>
            <w:r>
              <w:rPr>
                <w:i/>
                <w:iCs/>
              </w:rPr>
              <w:t>Use of nutrition and health claims – Requirements</w:t>
            </w:r>
          </w:p>
          <w:p w14:paraId="43813C02">
            <w:pPr>
              <w:numPr>
                <w:ilvl w:val="0"/>
                <w:numId w:val="7"/>
              </w:numPr>
              <w:spacing w:before="120" w:after="120"/>
            </w:pPr>
            <w:r>
              <w:t>MS 1786: Milled cereal products – Determination of fat acidity</w:t>
            </w:r>
          </w:p>
          <w:p w14:paraId="4FE7E620">
            <w:pPr>
              <w:numPr>
                <w:ilvl w:val="0"/>
                <w:numId w:val="7"/>
              </w:numPr>
              <w:spacing w:before="120" w:after="120"/>
            </w:pPr>
            <w:r>
              <w:t>ISO 65710-1:</w:t>
            </w:r>
            <w:r>
              <w:rPr>
                <w:i/>
                <w:iCs/>
              </w:rPr>
              <w:t xml:space="preserve"> Microbiology of the food chain – Horizontal method for the detection, enumeration and serotyping of Salmonella – Part 1: Detection of Salmonella spp.</w:t>
            </w:r>
          </w:p>
          <w:p w14:paraId="0E744BD2">
            <w:pPr>
              <w:numPr>
                <w:ilvl w:val="0"/>
                <w:numId w:val="7"/>
              </w:numPr>
              <w:spacing w:before="120" w:after="120"/>
            </w:pPr>
            <w:r>
              <w:t xml:space="preserve">ISO 16050: </w:t>
            </w:r>
            <w:r>
              <w:rPr>
                <w:i/>
                <w:iCs/>
              </w:rPr>
              <w:t>Foodstuffs – Determination of aflatoxin B1, and the total content of aflatoxin B1, B2, G1 and G2 in cereals, nuts and derived products – High performance liquid chromatographic method</w:t>
            </w:r>
          </w:p>
          <w:p w14:paraId="1E8D63E0">
            <w:pPr>
              <w:numPr>
                <w:ilvl w:val="0"/>
                <w:numId w:val="7"/>
              </w:numPr>
              <w:spacing w:before="120" w:after="120"/>
            </w:pPr>
            <w:r>
              <w:t xml:space="preserve">ISO 166410-2: </w:t>
            </w:r>
            <w:r>
              <w:rPr>
                <w:i/>
                <w:iCs/>
              </w:rPr>
              <w:t>Microbiology of food and animal feeding stuffs – Horizontal method for the enumeration of betaglucuronidase-positive Escherichia coli – Part 2: Colony-count technique at 44 degrees C using 5-bromo-4- chloro-3-indolyl beta-D-glucuronide</w:t>
            </w:r>
          </w:p>
          <w:p w14:paraId="313D3EC6">
            <w:pPr>
              <w:numPr>
                <w:ilvl w:val="0"/>
                <w:numId w:val="7"/>
              </w:numPr>
              <w:spacing w:before="120" w:after="120"/>
            </w:pPr>
            <w:r>
              <w:t xml:space="preserve">ISO 21527-2: </w:t>
            </w:r>
            <w:r>
              <w:rPr>
                <w:i/>
                <w:iCs/>
              </w:rPr>
              <w:t>Microbiology of food and animal feedstuffs – Horizontal method for the enumeration of yeasts and moulds – Part 2: Colony count technique in products with water activity less than or equal to 0.105</w:t>
            </w:r>
          </w:p>
          <w:p w14:paraId="63289B08">
            <w:pPr>
              <w:numPr>
                <w:ilvl w:val="0"/>
                <w:numId w:val="7"/>
              </w:numPr>
              <w:spacing w:before="120" w:after="120"/>
            </w:pPr>
            <w:r>
              <w:t>ISO 6888-1:</w:t>
            </w:r>
            <w:r>
              <w:rPr>
                <w:i/>
                <w:iCs/>
              </w:rPr>
              <w:t xml:space="preserve"> Microbiology of the food chain – Horizontal method for the enumeration of coagulase-positive staphylococci (Staphylococcus aureus and other species), Part 1: Method using Baird-Parker agar medium</w:t>
            </w:r>
          </w:p>
        </w:tc>
      </w:tr>
      <w:tr w14:paraId="040F5C2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F7B728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DE57ECF">
            <w:pPr>
              <w:spacing w:before="120" w:after="120"/>
            </w:pPr>
            <w:r>
              <w:rPr>
                <w:b/>
              </w:rPr>
              <w:t>Proposed date of adoption:</w:t>
            </w:r>
            <w:r>
              <w:t xml:space="preserve"> To be determined</w:t>
            </w:r>
          </w:p>
          <w:p w14:paraId="283E960E">
            <w:pPr>
              <w:spacing w:after="120"/>
            </w:pPr>
            <w:r>
              <w:rPr>
                <w:b/>
              </w:rPr>
              <w:t>Proposed date of entry into force:</w:t>
            </w:r>
            <w:r>
              <w:t xml:space="preserve"> To be determined</w:t>
            </w:r>
          </w:p>
        </w:tc>
      </w:tr>
      <w:tr w14:paraId="1877D0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4FC99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ACD3D01">
            <w:pPr>
              <w:spacing w:before="120" w:after="120"/>
              <w:rPr>
                <w:rFonts w:hint="eastAsia" w:eastAsia="宋体"/>
                <w:bCs/>
                <w:lang w:eastAsia="zh-CN"/>
              </w:rPr>
            </w:pPr>
            <w:r>
              <w:rPr>
                <w:b/>
              </w:rPr>
              <w:t>Final date for comments:</w:t>
            </w:r>
            <w:r>
              <w:t xml:space="preserve"> 21 September 2025</w:t>
            </w:r>
            <w:r>
              <w:rPr>
                <w:rFonts w:hint="eastAsia" w:eastAsia="宋体"/>
                <w:lang w:eastAsia="zh-CN"/>
              </w:rPr>
              <w:t>；</w:t>
            </w:r>
          </w:p>
          <w:p w14:paraId="1EAA1499">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7DE50520">
            <w:pPr>
              <w:spacing w:before="120" w:after="120"/>
            </w:pPr>
            <w:r>
              <w:rPr>
                <w:b/>
                <w:bCs/>
              </w:rPr>
              <w:t>Contact details of agency or authority designated to handle comments regarding the notification:</w:t>
            </w:r>
            <w:r>
              <w:t xml:space="preserve"> </w:t>
            </w:r>
          </w:p>
          <w:p w14:paraId="56028AC5">
            <w:r>
              <w:t>Director General</w:t>
            </w:r>
          </w:p>
          <w:p w14:paraId="3A928201">
            <w:r>
              <w:t>Malawi Bureau of Standards</w:t>
            </w:r>
          </w:p>
          <w:p w14:paraId="2192436C">
            <w:r>
              <w:t>P.O. Box 946</w:t>
            </w:r>
          </w:p>
          <w:p w14:paraId="4AF5414E">
            <w:r>
              <w:t>Blantyre,Malawi</w:t>
            </w:r>
          </w:p>
          <w:p w14:paraId="3DD71F28">
            <w:r>
              <w:t>Tel: + 265 887376 444</w:t>
            </w:r>
          </w:p>
          <w:p w14:paraId="00D328DD">
            <w:r>
              <w:t>Fax: + 265 1870 756</w:t>
            </w:r>
          </w:p>
          <w:p w14:paraId="4387E8EF">
            <w:pPr>
              <w:spacing w:before="120" w:after="120"/>
            </w:pPr>
            <w:r>
              <w:t xml:space="preserve">E-mail: </w:t>
            </w:r>
            <w:r>
              <w:fldChar w:fldCharType="begin"/>
            </w:r>
            <w:r>
              <w:instrText xml:space="preserve"> HYPERLINK "mailto:info@mbsmw.org" </w:instrText>
            </w:r>
            <w:r>
              <w:fldChar w:fldCharType="separate"/>
            </w:r>
            <w:r>
              <w:rPr>
                <w:color w:val="0000FF"/>
                <w:u w:val="single"/>
              </w:rPr>
              <w:t>info@mbsmw.org</w:t>
            </w:r>
            <w:r>
              <w:rPr>
                <w:color w:val="0000FF"/>
                <w:u w:val="single"/>
              </w:rPr>
              <w:fldChar w:fldCharType="end"/>
            </w:r>
            <w:bookmarkStart w:id="10" w:name="_GoBack"/>
            <w:bookmarkEnd w:id="10"/>
          </w:p>
        </w:tc>
      </w:tr>
      <w:tr w14:paraId="3CC0F5A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775D20D">
            <w:pPr>
              <w:keepNext/>
              <w:keepLines/>
              <w:spacing w:before="120" w:after="120"/>
              <w:jc w:val="left"/>
              <w:rPr>
                <w:b/>
              </w:rPr>
            </w:pPr>
            <w:r>
              <w:rPr>
                <w:b/>
              </w:rPr>
              <w:t>11.</w:t>
            </w:r>
          </w:p>
        </w:tc>
        <w:tc>
          <w:tcPr>
            <w:tcW w:w="8546" w:type="dxa"/>
            <w:tcBorders>
              <w:top w:val="single" w:color="auto" w:sz="6" w:space="0"/>
            </w:tcBorders>
            <w:shd w:val="clear" w:color="auto" w:fill="auto"/>
          </w:tcPr>
          <w:p w14:paraId="0E08073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D088EFF">
            <w:pPr>
              <w:rPr>
                <w:iCs/>
              </w:rPr>
            </w:pPr>
            <w:r>
              <w:rPr>
                <w:iCs/>
              </w:rPr>
              <w:t>Director General</w:t>
            </w:r>
          </w:p>
          <w:p w14:paraId="5C62A62D">
            <w:pPr>
              <w:rPr>
                <w:iCs/>
              </w:rPr>
            </w:pPr>
            <w:r>
              <w:rPr>
                <w:iCs/>
              </w:rPr>
              <w:t>Malawi Bureau of Standards</w:t>
            </w:r>
          </w:p>
          <w:p w14:paraId="4F8DE882">
            <w:pPr>
              <w:rPr>
                <w:iCs/>
              </w:rPr>
            </w:pPr>
            <w:r>
              <w:rPr>
                <w:iCs/>
              </w:rPr>
              <w:t>P.O Box 946</w:t>
            </w:r>
          </w:p>
          <w:p w14:paraId="121DAD1A">
            <w:pPr>
              <w:rPr>
                <w:iCs/>
              </w:rPr>
            </w:pPr>
            <w:r>
              <w:rPr>
                <w:iCs/>
              </w:rPr>
              <w:t>Blantyre,Malawi</w:t>
            </w:r>
          </w:p>
          <w:p w14:paraId="17868B2D">
            <w:pPr>
              <w:rPr>
                <w:iCs/>
              </w:rPr>
            </w:pPr>
            <w:r>
              <w:rPr>
                <w:iCs/>
              </w:rPr>
              <w:t>Tel: + 265 887376 444</w:t>
            </w:r>
          </w:p>
          <w:p w14:paraId="1F95F0D3">
            <w:pPr>
              <w:rPr>
                <w:iCs/>
              </w:rPr>
            </w:pPr>
            <w:r>
              <w:rPr>
                <w:iCs/>
              </w:rPr>
              <w:t>Fax: + 265 1870 756</w:t>
            </w:r>
          </w:p>
          <w:p w14:paraId="25643420">
            <w:pPr>
              <w:numPr>
                <w:ilvl w:val="0"/>
                <w:numId w:val="8"/>
              </w:numPr>
              <w:pBdr>
                <w:top w:val="none" w:color="auto" w:sz="0" w:space="4"/>
                <w:bottom w:val="none" w:color="auto" w:sz="0" w:space="4"/>
              </w:pBdr>
              <w:rPr>
                <w:iCs/>
                <w:color w:val="0000FF"/>
                <w:u w:val="single"/>
              </w:rPr>
            </w:pPr>
            <w:r>
              <w:rPr>
                <w:iCs/>
              </w:rPr>
              <w:t xml:space="preserve">mail: </w:t>
            </w:r>
            <w:r>
              <w:fldChar w:fldCharType="begin"/>
            </w:r>
            <w:r>
              <w:instrText xml:space="preserve"> HYPERLINK "mailto:info@mbsmw.org" </w:instrText>
            </w:r>
            <w:r>
              <w:fldChar w:fldCharType="separate"/>
            </w:r>
            <w:r>
              <w:rPr>
                <w:iCs/>
                <w:color w:val="0000FF"/>
                <w:u w:val="single"/>
              </w:rPr>
              <w:t>info@mbsmw.org</w:t>
            </w:r>
            <w:r>
              <w:rPr>
                <w:iCs/>
                <w:color w:val="0000FF"/>
                <w:u w:val="single"/>
              </w:rPr>
              <w:fldChar w:fldCharType="end"/>
            </w:r>
          </w:p>
          <w:p w14:paraId="23F70027">
            <w:pPr>
              <w:pBdr>
                <w:top w:val="none" w:color="auto" w:sz="0" w:space="4"/>
                <w:bottom w:val="none" w:color="auto" w:sz="0" w:space="4"/>
              </w:pBdr>
            </w:pPr>
          </w:p>
          <w:p w14:paraId="774FD76E">
            <w:pPr>
              <w:pBdr>
                <w:top w:val="none" w:color="auto" w:sz="0" w:space="4"/>
                <w:bottom w:val="none" w:color="auto" w:sz="0" w:space="4"/>
              </w:pBdr>
              <w:rPr>
                <w:iCs/>
              </w:rPr>
            </w:pPr>
            <w:r>
              <w:fldChar w:fldCharType="begin"/>
            </w:r>
            <w:r>
              <w:instrText xml:space="preserve"> HYPERLINK "https://members.wto.org/crnattachments/2025/TBT/MWI/25_04754_00_e.pdf" \t "_blank" </w:instrText>
            </w:r>
            <w:r>
              <w:fldChar w:fldCharType="separate"/>
            </w:r>
            <w:r>
              <w:rPr>
                <w:iCs/>
                <w:color w:val="0000FF"/>
                <w:u w:val="single"/>
              </w:rPr>
              <w:t>https://members.wto.org/crnattachments/2025/TBT/MWI/25_04754_00_e.pdf</w:t>
            </w:r>
            <w:r>
              <w:rPr>
                <w:iCs/>
                <w:color w:val="0000FF"/>
                <w:u w:val="single"/>
              </w:rPr>
              <w:fldChar w:fldCharType="end"/>
            </w:r>
          </w:p>
          <w:p w14:paraId="65700A09">
            <w:pPr>
              <w:keepNext/>
              <w:keepLines/>
              <w:numPr>
                <w:numId w:val="0"/>
              </w:numPr>
              <w:pBdr>
                <w:top w:val="none" w:color="auto" w:sz="0" w:space="4"/>
              </w:pBdr>
              <w:spacing w:after="120"/>
              <w:jc w:val="both"/>
              <w:rPr>
                <w:iCs/>
                <w:color w:val="0000FF"/>
                <w:u w:val="single"/>
              </w:rPr>
            </w:pPr>
          </w:p>
        </w:tc>
      </w:tr>
    </w:tbl>
    <w:p w14:paraId="519C681F"/>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A6DE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D2B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FE5A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6BD73">
    <w:pPr>
      <w:pStyle w:val="58"/>
      <w:pBdr>
        <w:bottom w:val="single" w:color="auto" w:sz="4" w:space="1"/>
      </w:pBdr>
      <w:tabs>
        <w:tab w:val="clear" w:pos="4513"/>
        <w:tab w:val="clear" w:pos="9027"/>
      </w:tabs>
      <w:jc w:val="center"/>
    </w:pPr>
    <w:bookmarkStart w:id="9" w:name="spsSymbolHeader"/>
    <w:r>
      <w:t>G/TBT/N/MWI/191</w:t>
    </w:r>
    <w:bookmarkEnd w:id="9"/>
  </w:p>
  <w:p w14:paraId="7F5ECDE6">
    <w:pPr>
      <w:pStyle w:val="58"/>
      <w:pBdr>
        <w:bottom w:val="single" w:color="auto" w:sz="4" w:space="1"/>
      </w:pBdr>
      <w:tabs>
        <w:tab w:val="clear" w:pos="4513"/>
        <w:tab w:val="clear" w:pos="9027"/>
      </w:tabs>
      <w:jc w:val="center"/>
    </w:pPr>
  </w:p>
  <w:p w14:paraId="730DEAA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7F13EC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D912B">
    <w:pPr>
      <w:pStyle w:val="58"/>
      <w:pBdr>
        <w:bottom w:val="single" w:color="auto" w:sz="4" w:space="1"/>
      </w:pBdr>
      <w:tabs>
        <w:tab w:val="clear" w:pos="4513"/>
        <w:tab w:val="clear" w:pos="9027"/>
      </w:tabs>
      <w:jc w:val="center"/>
    </w:pPr>
    <w:r>
      <w:t>tbtSymbol</w:t>
    </w:r>
  </w:p>
  <w:p w14:paraId="2276F7F0">
    <w:pPr>
      <w:pStyle w:val="58"/>
      <w:pBdr>
        <w:bottom w:val="single" w:color="auto" w:sz="4" w:space="1"/>
      </w:pBdr>
      <w:tabs>
        <w:tab w:val="clear" w:pos="4513"/>
        <w:tab w:val="clear" w:pos="9027"/>
      </w:tabs>
      <w:jc w:val="center"/>
    </w:pPr>
  </w:p>
  <w:p w14:paraId="4912797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4C9DA49">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56EEA2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2E7FF5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93B5D15">
          <w:pPr>
            <w:jc w:val="right"/>
            <w:rPr>
              <w:b/>
              <w:color w:val="FF0000"/>
              <w:szCs w:val="16"/>
            </w:rPr>
          </w:pPr>
        </w:p>
      </w:tc>
    </w:tr>
    <w:bookmarkEnd w:id="0"/>
    <w:tr w14:paraId="46F70A9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B18D32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2692681">
          <w:pPr>
            <w:jc w:val="right"/>
            <w:rPr>
              <w:b/>
              <w:szCs w:val="16"/>
            </w:rPr>
          </w:pPr>
        </w:p>
      </w:tc>
    </w:tr>
    <w:tr w14:paraId="48EEC0A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E5D1F24">
          <w:pPr>
            <w:jc w:val="left"/>
            <w:rPr>
              <w:lang w:eastAsia="en-GB"/>
            </w:rPr>
          </w:pPr>
        </w:p>
      </w:tc>
      <w:tc>
        <w:tcPr>
          <w:tcW w:w="5448" w:type="dxa"/>
          <w:gridSpan w:val="2"/>
          <w:shd w:val="clear" w:color="auto" w:fill="FFFFFF"/>
          <w:tcMar>
            <w:left w:w="108" w:type="dxa"/>
            <w:right w:w="108" w:type="dxa"/>
          </w:tcMar>
        </w:tcPr>
        <w:p w14:paraId="25805FFA">
          <w:pPr>
            <w:jc w:val="right"/>
            <w:rPr>
              <w:rFonts w:hint="eastAsia" w:eastAsia="宋体"/>
              <w:b/>
              <w:szCs w:val="16"/>
              <w:lang w:val="en-US" w:eastAsia="zh-CN"/>
            </w:rPr>
          </w:pPr>
          <w:bookmarkStart w:id="1" w:name="bmkSymbols"/>
          <w:r>
            <w:rPr>
              <w:b/>
              <w:szCs w:val="16"/>
            </w:rPr>
            <w:t>G/TBT/N/MWI/</w:t>
          </w:r>
          <w:r>
            <w:rPr>
              <w:rFonts w:hint="eastAsia" w:eastAsia="宋体"/>
              <w:b/>
              <w:szCs w:val="16"/>
              <w:lang w:val="en-US" w:eastAsia="zh-CN"/>
            </w:rPr>
            <w:t>2</w:t>
          </w:r>
          <w:r>
            <w:rPr>
              <w:b/>
              <w:szCs w:val="16"/>
            </w:rPr>
            <w:t>1</w:t>
          </w:r>
          <w:bookmarkEnd w:id="1"/>
          <w:r>
            <w:rPr>
              <w:rFonts w:hint="eastAsia" w:eastAsia="宋体"/>
              <w:b/>
              <w:szCs w:val="16"/>
              <w:lang w:val="en-US" w:eastAsia="zh-CN"/>
            </w:rPr>
            <w:t>7</w:t>
          </w:r>
        </w:p>
      </w:tc>
    </w:tr>
    <w:tr w14:paraId="72C6D26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A60ACEB"/>
      </w:tc>
      <w:tc>
        <w:tcPr>
          <w:tcW w:w="5448" w:type="dxa"/>
          <w:gridSpan w:val="2"/>
          <w:shd w:val="clear" w:color="auto" w:fill="FFFFFF"/>
          <w:tcMar>
            <w:left w:w="108" w:type="dxa"/>
            <w:right w:w="108" w:type="dxa"/>
          </w:tcMar>
          <w:vAlign w:val="center"/>
        </w:tcPr>
        <w:p w14:paraId="39D67156">
          <w:pPr>
            <w:jc w:val="right"/>
            <w:rPr>
              <w:szCs w:val="16"/>
            </w:rPr>
          </w:pPr>
          <w:bookmarkStart w:id="2" w:name="spsDateDistribution"/>
          <w:bookmarkStart w:id="3" w:name="bmkDate"/>
          <w:r>
            <w:rPr>
              <w:szCs w:val="16"/>
            </w:rPr>
            <w:t>23 July 2025</w:t>
          </w:r>
          <w:bookmarkEnd w:id="2"/>
          <w:bookmarkEnd w:id="3"/>
        </w:p>
      </w:tc>
    </w:tr>
    <w:tr w14:paraId="5B583C6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0826AF2">
          <w:pPr>
            <w:jc w:val="left"/>
            <w:rPr>
              <w:b/>
            </w:rPr>
          </w:pPr>
          <w:bookmarkStart w:id="4" w:name="bmkSerial"/>
          <w:r>
            <w:rPr>
              <w:b w:val="0"/>
              <w:color w:val="FF0000"/>
            </w:rPr>
            <w:t>(25-</w:t>
          </w:r>
          <w:r>
            <w:rPr>
              <w:rFonts w:hint="eastAsia" w:eastAsia="宋体"/>
              <w:b w:val="0"/>
              <w:color w:val="FF0000"/>
              <w:lang w:val="en-US" w:eastAsia="zh-CN"/>
            </w:rPr>
            <w:t>4717</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64DA24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2F6FCD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31188B1">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2B5C94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84D79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72AAE4"/>
    <w:multiLevelType w:val="singleLevel"/>
    <w:tmpl w:val="B372AAE4"/>
    <w:lvl w:ilvl="0" w:tentative="0">
      <w:start w:val="5"/>
      <w:numFmt w:val="upperLetter"/>
      <w:suff w:val="nothing"/>
      <w:lvlText w:val="%1-"/>
      <w:lvlJc w:val="left"/>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B3961"/>
    <w:rsid w:val="001E291F"/>
    <w:rsid w:val="00204CC3"/>
    <w:rsid w:val="00205F1B"/>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20D2"/>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A2E"/>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2280"/>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1F41"/>
    <w:rsid w:val="00C3241C"/>
    <w:rsid w:val="00C379C8"/>
    <w:rsid w:val="00C40E47"/>
    <w:rsid w:val="00C43456"/>
    <w:rsid w:val="00C43F2C"/>
    <w:rsid w:val="00C46583"/>
    <w:rsid w:val="00C47FCA"/>
    <w:rsid w:val="00C51B50"/>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76F5B41"/>
    <w:rsid w:val="76FF73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01D52AF7-CC45-4544-ABF0-B16A717200BC}">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503</Words>
  <Characters>2823</Characters>
  <Lines>23</Lines>
  <Paragraphs>6</Paragraphs>
  <TotalTime>0</TotalTime>
  <ScaleCrop>false</ScaleCrop>
  <LinksUpToDate>false</LinksUpToDate>
  <CharactersWithSpaces>3272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2025-06-10T14:13:00Z</dcterms:created>
  <dc:creator>mark louie medidas</dc:creator>
  <dc:description>LDIMD - DTU</dc:description>
  <cp:lastModifiedBy> 譞譞</cp:lastModifiedBy>
  <dcterms:modified xsi:type="dcterms:W3CDTF">2025-07-23T16:37:44Z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A4DFA33984334C98BDC7C25919D49BD8_12</vt:lpwstr>
  </property>
</Properties>
</file>