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DB10D0">
      <w:pPr>
        <w:pStyle w:val="84"/>
        <w:rPr>
          <w:caps w:val="0"/>
          <w:kern w:val="0"/>
        </w:rPr>
      </w:pPr>
      <w:r>
        <w:rPr>
          <w:caps w:val="0"/>
          <w:kern w:val="0"/>
        </w:rPr>
        <w:t>NOTIFICATION</w:t>
      </w:r>
    </w:p>
    <w:p w14:paraId="7920C9B6">
      <w:pPr>
        <w:jc w:val="center"/>
      </w:pPr>
      <w:r>
        <w:t>The following notification is being circulated in accordance with Article 10.6</w:t>
      </w:r>
    </w:p>
    <w:p w14:paraId="79E7364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7096E4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36199EF4">
            <w:pPr>
              <w:spacing w:before="120" w:after="120"/>
              <w:jc w:val="left"/>
            </w:pPr>
            <w:r>
              <w:rPr>
                <w:b/>
              </w:rPr>
              <w:t>1.</w:t>
            </w:r>
          </w:p>
        </w:tc>
        <w:tc>
          <w:tcPr>
            <w:tcW w:w="8546" w:type="dxa"/>
            <w:tcBorders>
              <w:bottom w:val="single" w:color="auto" w:sz="6" w:space="0"/>
            </w:tcBorders>
            <w:shd w:val="clear" w:color="auto" w:fill="auto"/>
          </w:tcPr>
          <w:p w14:paraId="0FF3BECD">
            <w:pPr>
              <w:spacing w:before="120" w:after="120"/>
            </w:pPr>
            <w:r>
              <w:rPr>
                <w:b/>
              </w:rPr>
              <w:t>Notifying Member:</w:t>
            </w:r>
            <w:r>
              <w:t xml:space="preserve"> </w:t>
            </w:r>
            <w:r>
              <w:rPr>
                <w:u w:val="single"/>
              </w:rPr>
              <w:t>MALAWI</w:t>
            </w:r>
          </w:p>
          <w:p w14:paraId="14EB6EE1">
            <w:pPr>
              <w:spacing w:after="120"/>
            </w:pPr>
            <w:r>
              <w:rPr>
                <w:b/>
              </w:rPr>
              <w:t>If applicable, name of local government involved (Article 3.2 and 7.2):</w:t>
            </w:r>
            <w:r>
              <w:t xml:space="preserve"> </w:t>
            </w:r>
          </w:p>
        </w:tc>
      </w:tr>
      <w:tr w14:paraId="0C31489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FD77627">
            <w:pPr>
              <w:spacing w:before="120" w:after="120"/>
              <w:jc w:val="left"/>
            </w:pPr>
            <w:r>
              <w:rPr>
                <w:b/>
              </w:rPr>
              <w:t>2.</w:t>
            </w:r>
          </w:p>
        </w:tc>
        <w:tc>
          <w:tcPr>
            <w:tcW w:w="8546" w:type="dxa"/>
            <w:tcBorders>
              <w:top w:val="single" w:color="auto" w:sz="6" w:space="0"/>
              <w:bottom w:val="single" w:color="auto" w:sz="6" w:space="0"/>
            </w:tcBorders>
            <w:shd w:val="clear" w:color="auto" w:fill="auto"/>
          </w:tcPr>
          <w:p w14:paraId="77DC7508">
            <w:pPr>
              <w:spacing w:before="120" w:after="120"/>
            </w:pPr>
            <w:r>
              <w:rPr>
                <w:b/>
              </w:rPr>
              <w:t>Agency responsible:</w:t>
            </w:r>
            <w:r>
              <w:t xml:space="preserve"> </w:t>
            </w:r>
          </w:p>
          <w:p w14:paraId="35CC3AE7">
            <w:r>
              <w:t>Malawi Bureau of Standards</w:t>
            </w:r>
          </w:p>
          <w:p w14:paraId="76FC7167">
            <w:r>
              <w:t>Director General</w:t>
            </w:r>
          </w:p>
          <w:p w14:paraId="4D97732E">
            <w:r>
              <w:t>Malawi Bureau of Standards</w:t>
            </w:r>
          </w:p>
          <w:p w14:paraId="462A81CE">
            <w:r>
              <w:t>P.O Box 946</w:t>
            </w:r>
          </w:p>
          <w:p w14:paraId="67C28A5C">
            <w:r>
              <w:t>Blantyre,Malawi</w:t>
            </w:r>
          </w:p>
          <w:p w14:paraId="2D42D30D">
            <w:r>
              <w:t>Tel: + 265 887376 444</w:t>
            </w:r>
          </w:p>
          <w:p w14:paraId="77A75536">
            <w:r>
              <w:t>Fax: + 265 1870 756</w:t>
            </w:r>
          </w:p>
          <w:p w14:paraId="3F0DB6F9">
            <w:pPr>
              <w:spacing w:after="120"/>
            </w:pPr>
            <w:r>
              <w:t xml:space="preserve">E-mail: </w:t>
            </w:r>
            <w:r>
              <w:fldChar w:fldCharType="begin"/>
            </w:r>
            <w:r>
              <w:instrText xml:space="preserve"> HYPERLINK "mailto:info@mbsmw.org" </w:instrText>
            </w:r>
            <w:r>
              <w:fldChar w:fldCharType="separate"/>
            </w:r>
            <w:r>
              <w:rPr>
                <w:color w:val="0000FF"/>
                <w:u w:val="single"/>
              </w:rPr>
              <w:t>info@mbsmw.org</w:t>
            </w:r>
            <w:r>
              <w:rPr>
                <w:color w:val="0000FF"/>
                <w:u w:val="single"/>
              </w:rPr>
              <w:fldChar w:fldCharType="end"/>
            </w: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77445E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BADCC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0B4141B">
            <w:pPr>
              <w:spacing w:before="120" w:after="120"/>
            </w:pPr>
            <w:r>
              <w:rPr>
                <w:b/>
              </w:rPr>
              <w:t>Notified under Article 2.9.2 [X], 2.10.1 [ ], 5.6.2 [ ], 5.7.1 [ ], 3.2 [ ], 7.2 [ ], other:</w:t>
            </w:r>
            <w:r>
              <w:t xml:space="preserve"> </w:t>
            </w:r>
          </w:p>
        </w:tc>
      </w:tr>
      <w:tr w14:paraId="732FD84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2AA4638">
            <w:pPr>
              <w:spacing w:before="120" w:after="120"/>
              <w:jc w:val="left"/>
            </w:pPr>
            <w:r>
              <w:rPr>
                <w:b/>
              </w:rPr>
              <w:t>4.</w:t>
            </w:r>
          </w:p>
        </w:tc>
        <w:tc>
          <w:tcPr>
            <w:tcW w:w="8546" w:type="dxa"/>
            <w:tcBorders>
              <w:top w:val="single" w:color="auto" w:sz="6" w:space="0"/>
              <w:bottom w:val="single" w:color="auto" w:sz="6" w:space="0"/>
            </w:tcBorders>
            <w:shd w:val="clear" w:color="auto" w:fill="auto"/>
          </w:tcPr>
          <w:p w14:paraId="6954BEFD">
            <w:pPr>
              <w:spacing w:before="120" w:after="120"/>
            </w:pPr>
            <w:r>
              <w:rPr>
                <w:b/>
              </w:rPr>
              <w:t>Products covered (HS or CCCN where applicable, otherwise national tariff heading. ICS numbers may be provided in addition, where applicable):</w:t>
            </w:r>
            <w:r>
              <w:t xml:space="preserve"> Fresh or chilled leguminous vegetables, shelled or unshelled (excl. peas "Pisum sativum" and beans "Vigna spp., Phaseolus spp.") (HS code(s): 070890); Fruits. Vegetables (ICS code(s): 67.080)</w:t>
            </w:r>
          </w:p>
        </w:tc>
      </w:tr>
      <w:tr w14:paraId="34CEF3B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D894356">
            <w:pPr>
              <w:spacing w:before="120" w:after="120"/>
              <w:jc w:val="left"/>
            </w:pPr>
            <w:r>
              <w:rPr>
                <w:b/>
              </w:rPr>
              <w:t>5.</w:t>
            </w:r>
          </w:p>
        </w:tc>
        <w:tc>
          <w:tcPr>
            <w:tcW w:w="8546" w:type="dxa"/>
            <w:tcBorders>
              <w:top w:val="single" w:color="auto" w:sz="6" w:space="0"/>
              <w:bottom w:val="single" w:color="auto" w:sz="6" w:space="0"/>
            </w:tcBorders>
            <w:shd w:val="clear" w:color="auto" w:fill="auto"/>
          </w:tcPr>
          <w:p w14:paraId="5C874AC5">
            <w:pPr>
              <w:spacing w:before="120" w:after="120"/>
            </w:pPr>
            <w:r>
              <w:rPr>
                <w:b/>
              </w:rPr>
              <w:t>Title, number of pages and language(s) of the notified document:</w:t>
            </w:r>
            <w:r>
              <w:t xml:space="preserve"> DMS 195:2025 Fresh green beans (</w:t>
            </w:r>
            <w:r>
              <w:rPr>
                <w:i/>
                <w:iCs/>
              </w:rPr>
              <w:t>Zitheba</w:t>
            </w:r>
            <w:r>
              <w:t>) – Specification; (5 page(s), in English)</w:t>
            </w:r>
          </w:p>
        </w:tc>
      </w:tr>
      <w:tr w14:paraId="55E359F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2677A09">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56C16F9A">
            <w:pPr>
              <w:spacing w:before="120" w:after="120"/>
              <w:rPr>
                <w:b/>
              </w:rPr>
            </w:pPr>
            <w:r>
              <w:rPr>
                <w:b/>
              </w:rPr>
              <w:t>Description of content:</w:t>
            </w:r>
            <w:r>
              <w:t xml:space="preserve"> This draft Malawi standard specifies requirements, sampling and test methods for fresh green beans of varieties (cultivars) grown from </w:t>
            </w:r>
            <w:r>
              <w:rPr>
                <w:i/>
                <w:iCs/>
              </w:rPr>
              <w:t xml:space="preserve">Phaseolus vulgaris </w:t>
            </w:r>
            <w:r>
              <w:t xml:space="preserve">L. and </w:t>
            </w:r>
            <w:r>
              <w:rPr>
                <w:i/>
                <w:iCs/>
              </w:rPr>
              <w:t xml:space="preserve">Phaseolus coccineus </w:t>
            </w:r>
            <w:r>
              <w:t>L. to be supplied fresh to the consumer. It does not include beans for shelling or Industrial processing.</w:t>
            </w:r>
          </w:p>
        </w:tc>
      </w:tr>
      <w:tr w14:paraId="727FC81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DFF1C3F">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0EEB4341">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Quality requirements; Reducing trade barriers and facilitating trade</w:t>
            </w:r>
          </w:p>
        </w:tc>
      </w:tr>
      <w:tr w14:paraId="3009B54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2B2BEC07">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4F0AA215">
            <w:pPr>
              <w:spacing w:before="120" w:after="120"/>
              <w:rPr>
                <w:bCs/>
              </w:rPr>
            </w:pPr>
            <w:r>
              <w:rPr>
                <w:b/>
              </w:rPr>
              <w:t>Relevant documents:</w:t>
            </w:r>
            <w:r>
              <w:t xml:space="preserve"> </w:t>
            </w:r>
          </w:p>
          <w:p w14:paraId="68BC8EC5">
            <w:pPr>
              <w:numPr>
                <w:ilvl w:val="0"/>
                <w:numId w:val="7"/>
              </w:numPr>
              <w:spacing w:before="120" w:after="120"/>
            </w:pPr>
            <w:r>
              <w:t xml:space="preserve">MS 19-1: </w:t>
            </w:r>
            <w:r>
              <w:rPr>
                <w:i/>
                <w:iCs/>
              </w:rPr>
              <w:t>Labeling of foods – General standard, Part 1: Prepackaged foods</w:t>
            </w:r>
          </w:p>
          <w:p w14:paraId="24BE1A46">
            <w:pPr>
              <w:numPr>
                <w:ilvl w:val="0"/>
                <w:numId w:val="7"/>
              </w:numPr>
              <w:spacing w:before="120" w:after="120"/>
            </w:pPr>
            <w:r>
              <w:t>MS 19-2:</w:t>
            </w:r>
            <w:r>
              <w:rPr>
                <w:i/>
                <w:iCs/>
              </w:rPr>
              <w:t xml:space="preserve"> Labelling of foods – General standard, Part 2: Non-retail containers of food</w:t>
            </w:r>
          </w:p>
          <w:p w14:paraId="2C02A8D4">
            <w:pPr>
              <w:numPr>
                <w:ilvl w:val="0"/>
                <w:numId w:val="7"/>
              </w:numPr>
              <w:spacing w:before="120" w:after="120"/>
            </w:pPr>
            <w:r>
              <w:t xml:space="preserve">MS 302: </w:t>
            </w:r>
            <w:r>
              <w:rPr>
                <w:i/>
                <w:iCs/>
              </w:rPr>
              <w:t>Contaminants and toxins in food – General standard;</w:t>
            </w:r>
          </w:p>
          <w:p w14:paraId="7D1385BC">
            <w:pPr>
              <w:numPr>
                <w:ilvl w:val="0"/>
                <w:numId w:val="7"/>
              </w:numPr>
              <w:spacing w:before="120" w:after="120"/>
            </w:pPr>
            <w:r>
              <w:t>MS 1112:</w:t>
            </w:r>
            <w:r>
              <w:rPr>
                <w:i/>
                <w:iCs/>
              </w:rPr>
              <w:t xml:space="preserve"> Code of hygienic practice for fresh fruits and vegetables</w:t>
            </w:r>
          </w:p>
          <w:p w14:paraId="70FE6A64">
            <w:pPr>
              <w:numPr>
                <w:ilvl w:val="0"/>
                <w:numId w:val="7"/>
              </w:numPr>
              <w:spacing w:before="120" w:after="120"/>
            </w:pPr>
            <w:r>
              <w:t xml:space="preserve">MS 1520: </w:t>
            </w:r>
            <w:r>
              <w:rPr>
                <w:i/>
                <w:iCs/>
              </w:rPr>
              <w:t>Fresh fruits and vegetables – Sampling;</w:t>
            </w:r>
          </w:p>
          <w:p w14:paraId="6B446A26">
            <w:pPr>
              <w:numPr>
                <w:ilvl w:val="0"/>
                <w:numId w:val="7"/>
              </w:numPr>
              <w:spacing w:before="120" w:after="120"/>
            </w:pPr>
            <w:r>
              <w:t xml:space="preserve">ISO 6579-1: </w:t>
            </w:r>
            <w:r>
              <w:rPr>
                <w:i/>
                <w:iCs/>
              </w:rPr>
              <w:t>Microbiology of the food chain – Horizontal method for the detection, enumeration and serotyping of Salmonella, Part 1: Detection of Salmonella spp.</w:t>
            </w:r>
          </w:p>
          <w:p w14:paraId="3AA91C55">
            <w:pPr>
              <w:numPr>
                <w:ilvl w:val="0"/>
                <w:numId w:val="7"/>
              </w:numPr>
              <w:spacing w:before="120" w:after="120"/>
            </w:pPr>
            <w:r>
              <w:t>ISO 11290-1:</w:t>
            </w:r>
            <w:r>
              <w:rPr>
                <w:i/>
                <w:iCs/>
              </w:rPr>
              <w:t xml:space="preserve"> Microbiology of the food chain – Horizontal method for the detection and enumeration of Listeria monocytogenes and of Listeria spp., Part 1: Detection method</w:t>
            </w:r>
          </w:p>
          <w:p w14:paraId="2ED80D9E">
            <w:pPr>
              <w:numPr>
                <w:ilvl w:val="0"/>
                <w:numId w:val="7"/>
              </w:numPr>
              <w:spacing w:before="120" w:after="120"/>
            </w:pPr>
            <w:r>
              <w:t>ISO 16654:</w:t>
            </w:r>
            <w:r>
              <w:rPr>
                <w:i/>
                <w:iCs/>
              </w:rPr>
              <w:t xml:space="preserve"> Microbiology of food and animal feeding stuffs- Horizontal method for the detection of Escherichia coli O157</w:t>
            </w:r>
          </w:p>
        </w:tc>
      </w:tr>
      <w:tr w14:paraId="040F5C2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7F7B7286">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DE57ECF">
            <w:pPr>
              <w:spacing w:before="120" w:after="120"/>
            </w:pPr>
            <w:r>
              <w:rPr>
                <w:b/>
              </w:rPr>
              <w:t>Proposed date of adoption:</w:t>
            </w:r>
            <w:r>
              <w:t xml:space="preserve"> To be determined</w:t>
            </w:r>
          </w:p>
          <w:p w14:paraId="283E960E">
            <w:pPr>
              <w:spacing w:after="120"/>
            </w:pPr>
            <w:r>
              <w:rPr>
                <w:b/>
              </w:rPr>
              <w:t>Proposed date of entry into force:</w:t>
            </w:r>
            <w:r>
              <w:t xml:space="preserve"> To be determined</w:t>
            </w:r>
          </w:p>
        </w:tc>
      </w:tr>
      <w:tr w14:paraId="1877D01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C4FC99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ACD3D01">
            <w:pPr>
              <w:spacing w:before="120" w:after="120"/>
              <w:rPr>
                <w:rFonts w:hint="eastAsia" w:eastAsia="宋体"/>
                <w:bCs/>
                <w:lang w:eastAsia="zh-CN"/>
              </w:rPr>
            </w:pPr>
            <w:r>
              <w:rPr>
                <w:b/>
              </w:rPr>
              <w:t>Final date for comments:</w:t>
            </w:r>
            <w:r>
              <w:t xml:space="preserve"> 21 September 2025</w:t>
            </w:r>
            <w:r>
              <w:rPr>
                <w:rFonts w:hint="eastAsia" w:eastAsia="宋体"/>
                <w:lang w:eastAsia="zh-CN"/>
              </w:rPr>
              <w:t>；</w:t>
            </w:r>
          </w:p>
          <w:p w14:paraId="1EAA1499">
            <w:pPr>
              <w:tabs>
                <w:tab w:val="left" w:pos="1418"/>
                <w:tab w:val="left" w:pos="2127"/>
                <w:tab w:val="left" w:pos="2835"/>
                <w:tab w:val="left" w:pos="3402"/>
              </w:tabs>
              <w:spacing w:before="120" w:after="120"/>
              <w:rPr>
                <w:rFonts w:hint="eastAsia" w:eastAsia="宋体"/>
                <w:b/>
                <w:bCs/>
                <w:lang w:eastAsia="zh-CN"/>
              </w:rPr>
            </w:pPr>
            <w:r>
              <w:rPr>
                <w:b/>
                <w:bCs/>
              </w:rPr>
              <w:t>[X] 60 days from notification</w:t>
            </w:r>
            <w:r>
              <w:t xml:space="preserve"> </w:t>
            </w:r>
            <w:r>
              <w:rPr>
                <w:rFonts w:hint="eastAsia" w:eastAsia="宋体"/>
                <w:lang w:eastAsia="zh-CN"/>
              </w:rPr>
              <w:t>；</w:t>
            </w:r>
            <w:bookmarkStart w:id="10" w:name="_GoBack"/>
            <w:bookmarkEnd w:id="10"/>
          </w:p>
          <w:p w14:paraId="7DE50520">
            <w:pPr>
              <w:spacing w:before="120" w:after="120"/>
            </w:pPr>
            <w:r>
              <w:rPr>
                <w:b/>
                <w:bCs/>
              </w:rPr>
              <w:t>Contact details of agency or authority designated to handle comments regarding the notification:</w:t>
            </w:r>
            <w:r>
              <w:t xml:space="preserve"> </w:t>
            </w:r>
          </w:p>
          <w:p w14:paraId="56028AC5">
            <w:r>
              <w:t>Director General</w:t>
            </w:r>
          </w:p>
          <w:p w14:paraId="3A928201">
            <w:r>
              <w:t>Malawi Bureau of Standards</w:t>
            </w:r>
          </w:p>
          <w:p w14:paraId="2192436C">
            <w:r>
              <w:t>P.O. Box 946</w:t>
            </w:r>
          </w:p>
          <w:p w14:paraId="03313EA9">
            <w:r>
              <w:t>Blantyre</w:t>
            </w:r>
          </w:p>
          <w:p w14:paraId="133D8442">
            <w:r>
              <w:t>Blantyre 312200</w:t>
            </w:r>
          </w:p>
          <w:p w14:paraId="3A07878F">
            <w:r>
              <w:t>Tel: +265 887375444</w:t>
            </w:r>
          </w:p>
          <w:p w14:paraId="4DE8508A">
            <w:r>
              <w:t>Fax: +265 1 870 756</w:t>
            </w:r>
          </w:p>
          <w:p w14:paraId="6466A4EF">
            <w:r>
              <w:t xml:space="preserve">Email: </w:t>
            </w:r>
            <w:r>
              <w:fldChar w:fldCharType="begin"/>
            </w:r>
            <w:r>
              <w:instrText xml:space="preserve"> HYPERLINK "mailto:info@mbsmw.org" </w:instrText>
            </w:r>
            <w:r>
              <w:fldChar w:fldCharType="separate"/>
            </w:r>
            <w:r>
              <w:rPr>
                <w:color w:val="0000FF"/>
                <w:u w:val="single"/>
              </w:rPr>
              <w:t>info@mbsmw.org</w:t>
            </w:r>
            <w:r>
              <w:rPr>
                <w:color w:val="0000FF"/>
                <w:u w:val="single"/>
              </w:rPr>
              <w:fldChar w:fldCharType="end"/>
            </w:r>
          </w:p>
          <w:p w14:paraId="314E47AD">
            <w:pPr>
              <w:spacing w:before="120" w:after="120"/>
            </w:pPr>
            <w:r>
              <w:t>Website: www.mbsmw.org</w:t>
            </w:r>
          </w:p>
        </w:tc>
      </w:tr>
      <w:tr w14:paraId="3CC0F5A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775D20D">
            <w:pPr>
              <w:keepNext/>
              <w:keepLines/>
              <w:spacing w:before="120" w:after="120"/>
              <w:jc w:val="left"/>
              <w:rPr>
                <w:b/>
              </w:rPr>
            </w:pPr>
            <w:r>
              <w:rPr>
                <w:b/>
              </w:rPr>
              <w:t>11.</w:t>
            </w:r>
          </w:p>
        </w:tc>
        <w:tc>
          <w:tcPr>
            <w:tcW w:w="8546" w:type="dxa"/>
            <w:tcBorders>
              <w:top w:val="single" w:color="auto" w:sz="6" w:space="0"/>
            </w:tcBorders>
            <w:shd w:val="clear" w:color="auto" w:fill="auto"/>
          </w:tcPr>
          <w:p w14:paraId="0E080734">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59DB7D20">
            <w:pPr>
              <w:rPr>
                <w:iCs/>
              </w:rPr>
            </w:pPr>
            <w:r>
              <w:rPr>
                <w:iCs/>
              </w:rPr>
              <w:t>Director General</w:t>
            </w:r>
          </w:p>
          <w:p w14:paraId="545C1B0D">
            <w:pPr>
              <w:rPr>
                <w:iCs/>
              </w:rPr>
            </w:pPr>
            <w:r>
              <w:rPr>
                <w:iCs/>
              </w:rPr>
              <w:t>Malawi Bureau of Standards</w:t>
            </w:r>
          </w:p>
          <w:p w14:paraId="6C86A72C">
            <w:pPr>
              <w:rPr>
                <w:iCs/>
              </w:rPr>
            </w:pPr>
            <w:r>
              <w:rPr>
                <w:iCs/>
              </w:rPr>
              <w:t>P.O Box 946</w:t>
            </w:r>
          </w:p>
          <w:p w14:paraId="04C840F1">
            <w:pPr>
              <w:rPr>
                <w:iCs/>
              </w:rPr>
            </w:pPr>
            <w:r>
              <w:rPr>
                <w:iCs/>
              </w:rPr>
              <w:t>Blantyre,Malawi</w:t>
            </w:r>
          </w:p>
          <w:p w14:paraId="11701E11">
            <w:pPr>
              <w:rPr>
                <w:iCs/>
              </w:rPr>
            </w:pPr>
            <w:r>
              <w:rPr>
                <w:iCs/>
              </w:rPr>
              <w:t>Tel: + 265 887376 444</w:t>
            </w:r>
          </w:p>
          <w:p w14:paraId="153E34B7">
            <w:pPr>
              <w:rPr>
                <w:iCs/>
              </w:rPr>
            </w:pPr>
            <w:r>
              <w:rPr>
                <w:iCs/>
              </w:rPr>
              <w:t>Fax: + 265 1870 756</w:t>
            </w:r>
          </w:p>
          <w:p w14:paraId="44BB414C">
            <w:pPr>
              <w:keepNext/>
              <w:keepLines/>
              <w:pBdr>
                <w:top w:val="none" w:color="auto" w:sz="0" w:space="4"/>
              </w:pBdr>
              <w:spacing w:after="120"/>
              <w:rPr>
                <w:bCs/>
              </w:rPr>
            </w:pPr>
            <w:r>
              <w:rPr>
                <w:iCs/>
              </w:rPr>
              <w:t xml:space="preserve">E-mail: </w:t>
            </w:r>
            <w:r>
              <w:fldChar w:fldCharType="begin"/>
            </w:r>
            <w:r>
              <w:instrText xml:space="preserve"> HYPERLINK "mailto:info@mbsmw.org" </w:instrText>
            </w:r>
            <w:r>
              <w:fldChar w:fldCharType="separate"/>
            </w:r>
            <w:r>
              <w:rPr>
                <w:iCs/>
                <w:color w:val="0000FF"/>
                <w:u w:val="single"/>
              </w:rPr>
              <w:t>info@mbsmw.org</w:t>
            </w:r>
            <w:r>
              <w:rPr>
                <w:iCs/>
                <w:color w:val="0000FF"/>
                <w:u w:val="single"/>
              </w:rPr>
              <w:fldChar w:fldCharType="end"/>
            </w:r>
          </w:p>
        </w:tc>
      </w:tr>
    </w:tbl>
    <w:p w14:paraId="519C681F"/>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A6DE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AD2B1">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FE5A1">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6BD73">
    <w:pPr>
      <w:pStyle w:val="58"/>
      <w:pBdr>
        <w:bottom w:val="single" w:color="auto" w:sz="4" w:space="1"/>
      </w:pBdr>
      <w:tabs>
        <w:tab w:val="clear" w:pos="4513"/>
        <w:tab w:val="clear" w:pos="9027"/>
      </w:tabs>
      <w:jc w:val="center"/>
    </w:pPr>
    <w:bookmarkStart w:id="0" w:name="spsSymbolHeader"/>
    <w:r>
      <w:t>G/TBT/N/MWI/191</w:t>
    </w:r>
    <w:bookmarkEnd w:id="0"/>
  </w:p>
  <w:p w14:paraId="7F5ECDE6">
    <w:pPr>
      <w:pStyle w:val="58"/>
      <w:pBdr>
        <w:bottom w:val="single" w:color="auto" w:sz="4" w:space="1"/>
      </w:pBdr>
      <w:tabs>
        <w:tab w:val="clear" w:pos="4513"/>
        <w:tab w:val="clear" w:pos="9027"/>
      </w:tabs>
      <w:jc w:val="center"/>
    </w:pPr>
  </w:p>
  <w:p w14:paraId="730DEAA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77F13EC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D912B">
    <w:pPr>
      <w:pStyle w:val="58"/>
      <w:pBdr>
        <w:bottom w:val="single" w:color="auto" w:sz="4" w:space="1"/>
      </w:pBdr>
      <w:tabs>
        <w:tab w:val="clear" w:pos="4513"/>
        <w:tab w:val="clear" w:pos="9027"/>
      </w:tabs>
      <w:jc w:val="center"/>
    </w:pPr>
    <w:r>
      <w:t>tbtSymbol</w:t>
    </w:r>
  </w:p>
  <w:p w14:paraId="2276F7F0">
    <w:pPr>
      <w:pStyle w:val="58"/>
      <w:pBdr>
        <w:bottom w:val="single" w:color="auto" w:sz="4" w:space="1"/>
      </w:pBdr>
      <w:tabs>
        <w:tab w:val="clear" w:pos="4513"/>
        <w:tab w:val="clear" w:pos="9027"/>
      </w:tabs>
      <w:jc w:val="center"/>
    </w:pPr>
  </w:p>
  <w:p w14:paraId="4912797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4C9DA49">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56EEA22">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2E7FF57">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693B5D15">
          <w:pPr>
            <w:jc w:val="right"/>
            <w:rPr>
              <w:b/>
              <w:color w:val="FF0000"/>
              <w:szCs w:val="16"/>
            </w:rPr>
          </w:pPr>
        </w:p>
      </w:tc>
    </w:tr>
    <w:bookmarkEnd w:id="1"/>
    <w:tr w14:paraId="46F70A90">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B18D32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2692681">
          <w:pPr>
            <w:jc w:val="right"/>
            <w:rPr>
              <w:b/>
              <w:szCs w:val="16"/>
            </w:rPr>
          </w:pPr>
        </w:p>
      </w:tc>
    </w:tr>
    <w:tr w14:paraId="48EEC0A1">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E5D1F24">
          <w:pPr>
            <w:jc w:val="left"/>
            <w:rPr>
              <w:lang w:eastAsia="en-GB"/>
            </w:rPr>
          </w:pPr>
        </w:p>
      </w:tc>
      <w:tc>
        <w:tcPr>
          <w:tcW w:w="5448" w:type="dxa"/>
          <w:gridSpan w:val="2"/>
          <w:shd w:val="clear" w:color="auto" w:fill="FFFFFF"/>
          <w:tcMar>
            <w:left w:w="108" w:type="dxa"/>
            <w:right w:w="108" w:type="dxa"/>
          </w:tcMar>
        </w:tcPr>
        <w:p w14:paraId="25805FFA">
          <w:pPr>
            <w:jc w:val="right"/>
            <w:rPr>
              <w:rFonts w:hint="eastAsia" w:eastAsia="宋体"/>
              <w:b/>
              <w:szCs w:val="16"/>
              <w:lang w:val="en-US" w:eastAsia="zh-CN"/>
            </w:rPr>
          </w:pPr>
          <w:bookmarkStart w:id="2" w:name="bmkSymbols"/>
          <w:r>
            <w:rPr>
              <w:b/>
              <w:szCs w:val="16"/>
            </w:rPr>
            <w:t>G/TBT/N/MWI/</w:t>
          </w:r>
          <w:r>
            <w:rPr>
              <w:rFonts w:hint="eastAsia" w:eastAsia="宋体"/>
              <w:b/>
              <w:szCs w:val="16"/>
              <w:lang w:val="en-US" w:eastAsia="zh-CN"/>
            </w:rPr>
            <w:t>2</w:t>
          </w:r>
          <w:r>
            <w:rPr>
              <w:b/>
              <w:szCs w:val="16"/>
            </w:rPr>
            <w:t>1</w:t>
          </w:r>
          <w:bookmarkEnd w:id="2"/>
          <w:r>
            <w:rPr>
              <w:rFonts w:hint="eastAsia" w:eastAsia="宋体"/>
              <w:b/>
              <w:szCs w:val="16"/>
              <w:lang w:val="en-US" w:eastAsia="zh-CN"/>
            </w:rPr>
            <w:t>6</w:t>
          </w:r>
        </w:p>
      </w:tc>
    </w:tr>
    <w:tr w14:paraId="72C6D265">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A60ACEB"/>
      </w:tc>
      <w:tc>
        <w:tcPr>
          <w:tcW w:w="5448" w:type="dxa"/>
          <w:gridSpan w:val="2"/>
          <w:shd w:val="clear" w:color="auto" w:fill="FFFFFF"/>
          <w:tcMar>
            <w:left w:w="108" w:type="dxa"/>
            <w:right w:w="108" w:type="dxa"/>
          </w:tcMar>
          <w:vAlign w:val="center"/>
        </w:tcPr>
        <w:p w14:paraId="39D67156">
          <w:pPr>
            <w:jc w:val="right"/>
            <w:rPr>
              <w:szCs w:val="16"/>
            </w:rPr>
          </w:pPr>
          <w:bookmarkStart w:id="3" w:name="spsDateDistribution"/>
          <w:bookmarkStart w:id="4" w:name="bmkDate"/>
          <w:r>
            <w:rPr>
              <w:szCs w:val="16"/>
            </w:rPr>
            <w:t>23 July 2025</w:t>
          </w:r>
          <w:bookmarkEnd w:id="3"/>
          <w:bookmarkEnd w:id="4"/>
        </w:p>
      </w:tc>
    </w:tr>
    <w:tr w14:paraId="5B583C6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0826AF2">
          <w:pPr>
            <w:jc w:val="left"/>
            <w:rPr>
              <w:b/>
            </w:rPr>
          </w:pPr>
          <w:bookmarkStart w:id="5" w:name="bmkSerial"/>
          <w:r>
            <w:rPr>
              <w:b w:val="0"/>
              <w:color w:val="FF0000"/>
            </w:rPr>
            <w:t>(25-</w:t>
          </w:r>
          <w:r>
            <w:rPr>
              <w:rFonts w:hint="eastAsia" w:eastAsia="宋体"/>
              <w:b w:val="0"/>
              <w:color w:val="FF0000"/>
              <w:lang w:val="en-US" w:eastAsia="zh-CN"/>
            </w:rPr>
            <w:t>4718</w:t>
          </w:r>
          <w:r>
            <w:rPr>
              <w:b w:val="0"/>
              <w:color w:val="FF0000"/>
            </w:rPr>
            <w:t>)</w:t>
          </w:r>
          <w:bookmarkEnd w:id="5"/>
        </w:p>
      </w:tc>
      <w:tc>
        <w:tcPr>
          <w:tcW w:w="3325" w:type="dxa"/>
          <w:tcBorders>
            <w:bottom w:val="single" w:color="auto" w:sz="4" w:space="0"/>
          </w:tcBorders>
          <w:tcMar>
            <w:top w:w="0" w:type="dxa"/>
            <w:left w:w="108" w:type="dxa"/>
            <w:bottom w:w="57" w:type="dxa"/>
            <w:right w:w="108" w:type="dxa"/>
          </w:tcMar>
          <w:vAlign w:val="bottom"/>
        </w:tcPr>
        <w:p w14:paraId="364DA24D">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6"/>
        </w:p>
      </w:tc>
    </w:tr>
    <w:tr w14:paraId="02F6FCD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31188B1">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32B5C944">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584D798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B3961"/>
    <w:rsid w:val="001E291F"/>
    <w:rsid w:val="00204CC3"/>
    <w:rsid w:val="00205F1B"/>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20D2"/>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A2E"/>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2280"/>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1F41"/>
    <w:rsid w:val="00C3241C"/>
    <w:rsid w:val="00C379C8"/>
    <w:rsid w:val="00C40E47"/>
    <w:rsid w:val="00C43456"/>
    <w:rsid w:val="00C43F2C"/>
    <w:rsid w:val="00C46583"/>
    <w:rsid w:val="00C47FCA"/>
    <w:rsid w:val="00C51B50"/>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276F5B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D52AF7-CC45-4544-ABF0-B16A717200BC}">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459</Words>
  <Characters>2715</Characters>
  <Lines>23</Lines>
  <Paragraphs>6</Paragraphs>
  <TotalTime>0</TotalTime>
  <ScaleCrop>false</ScaleCrop>
  <LinksUpToDate>false</LinksUpToDate>
  <CharactersWithSpaces>3126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2025-06-10T14:13:00Z</dcterms:created>
  <dc:creator>mark louie medidas</dc:creator>
  <dc:description>LDIMD - DTU</dc:description>
  <cp:lastModifiedBy> 譞譞</cp:lastModifiedBy>
  <dcterms:modified xsi:type="dcterms:W3CDTF">2025-07-23T16:33:59Z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A4DFA33984334C98BDC7C25919D49BD8_12</vt:lpwstr>
  </property>
</Properties>
</file>