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51B284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NOTIFICACIÓN</w:t>
      </w:r>
    </w:p>
    <w:p w14:paraId="4E3A69C3">
      <w:pPr>
        <w:jc w:val="center"/>
      </w:pPr>
      <w:r>
        <w:t>Se da traslado de la notificación siguiente de conformidad con el artículo 10.6.</w:t>
      </w:r>
    </w:p>
    <w:p w14:paraId="31F848C4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527"/>
      </w:tblGrid>
      <w:tr w14:paraId="4E6095E2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bottom w:val="single" w:color="auto" w:sz="6" w:space="0"/>
            </w:tcBorders>
            <w:shd w:val="clear" w:color="auto" w:fill="auto"/>
          </w:tcPr>
          <w:p w14:paraId="1D0C4266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24" w:type="dxa"/>
            <w:tcBorders>
              <w:bottom w:val="single" w:color="auto" w:sz="6" w:space="0"/>
            </w:tcBorders>
            <w:shd w:val="clear" w:color="auto" w:fill="auto"/>
          </w:tcPr>
          <w:p w14:paraId="6DBBAFDB">
            <w:pPr>
              <w:spacing w:before="120" w:after="120"/>
            </w:pPr>
            <w:r>
              <w:rPr>
                <w:b/>
              </w:rPr>
              <w:t>Miembro que notifica:</w:t>
            </w:r>
            <w:r>
              <w:t xml:space="preserve"> </w:t>
            </w:r>
            <w:r>
              <w:rPr>
                <w:u w:val="single"/>
              </w:rPr>
              <w:t>CHILE</w:t>
            </w:r>
          </w:p>
          <w:p w14:paraId="37E7B03B">
            <w:pPr>
              <w:spacing w:after="120"/>
            </w:pPr>
            <w:r>
              <w:rPr>
                <w:b/>
              </w:rPr>
              <w:t>Si procede, nombre del gobierno local de que se trate (artículos 3.2 y 7.2):</w:t>
            </w:r>
            <w:r>
              <w:t xml:space="preserve"> </w:t>
            </w:r>
          </w:p>
        </w:tc>
      </w:tr>
      <w:tr w14:paraId="5357909A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A62DFC2">
            <w:pPr>
              <w:spacing w:before="120" w:after="1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2EFB74">
            <w:pPr>
              <w:spacing w:before="120" w:after="120"/>
              <w:rPr>
                <w:bCs/>
              </w:rPr>
            </w:pPr>
            <w:r>
              <w:rPr>
                <w:b/>
              </w:rPr>
              <w:t>Organismo responsable:</w:t>
            </w:r>
            <w:r>
              <w:t xml:space="preserve"> </w:t>
            </w:r>
          </w:p>
          <w:p w14:paraId="0576AAC9">
            <w:pPr>
              <w:spacing w:after="120"/>
            </w:pPr>
            <w:r>
              <w:t>Superintendencia de Electricidad y Combustibles (SEC)</w:t>
            </w:r>
          </w:p>
          <w:p w14:paraId="4A1CF108">
            <w:pPr>
              <w:spacing w:after="120"/>
            </w:pPr>
            <w:r>
              <w:rPr>
                <w:b/>
              </w:rPr>
              <w:t>Nombre y dirección (incluidos los números de teléfono y de fax, así como las direcciones de correo electrónico y sitios web, en su caso) del organismo o autoridad encargado de la tramitación de observaciones sobre la notificación, en caso de que se trate de un organismo o autoridad diferente:</w:t>
            </w:r>
            <w:r>
              <w:t xml:space="preserve"> </w:t>
            </w:r>
          </w:p>
        </w:tc>
      </w:tr>
      <w:tr w14:paraId="010F3B9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15355D6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510D02D">
            <w:pPr>
              <w:spacing w:before="120" w:after="120"/>
            </w:pPr>
            <w:r>
              <w:rPr>
                <w:b/>
              </w:rPr>
              <w:t>Notificación hecha en virtud del artículo 2.9.2 [X], 2.10.1 [ ], 5.6.2 [], 5.7.1 [ ], 3.2 [ ], 7.2 [ ], o en virtud de:</w:t>
            </w:r>
            <w:r>
              <w:t xml:space="preserve"> </w:t>
            </w:r>
          </w:p>
        </w:tc>
      </w:tr>
      <w:tr w14:paraId="68A3B484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06E099D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873AC3E">
            <w:pPr>
              <w:spacing w:before="120" w:after="120"/>
            </w:pPr>
            <w:r>
              <w:rPr>
                <w:b/>
              </w:rPr>
              <w:t>Productos abarcados (partida del SA o de la NCCA cuando corresponda; en otro caso partida del arancel nacional. Podrá indicarse además, cuando proceda, el número de partida de la ICS):</w:t>
            </w:r>
            <w:r>
              <w:t xml:space="preserve"> Lavavajillas</w:t>
            </w:r>
          </w:p>
        </w:tc>
      </w:tr>
      <w:tr w14:paraId="367F4C1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B511EAB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D5AFFC1">
            <w:pPr>
              <w:spacing w:before="120" w:after="120"/>
            </w:pPr>
            <w:r>
              <w:rPr>
                <w:b/>
              </w:rPr>
              <w:t>Título, número de páginas e idioma(s) del documento notificado:</w:t>
            </w:r>
            <w:r>
              <w:t xml:space="preserve"> Protocolo de Análisis y/o Ensayo de Seguridad de Producto Eléctrico PE Nº1/04:2025; (10 página(s), en español)</w:t>
            </w:r>
          </w:p>
        </w:tc>
      </w:tr>
      <w:tr w14:paraId="1DD0CB4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  <w:vAlign w:val="top"/>
          </w:tcPr>
          <w:p w14:paraId="4C97B3A0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  <w:vAlign w:val="top"/>
          </w:tcPr>
          <w:p w14:paraId="4BD05A73">
            <w:pPr>
              <w:spacing w:before="120" w:after="120"/>
            </w:pPr>
            <w:r>
              <w:rPr>
                <w:b/>
              </w:rPr>
              <w:t>Descripción del contenido:</w:t>
            </w:r>
            <w:r>
              <w:t xml:space="preserve"> El presente protocolo establece el procedimiento de certificación para Lavavajillas eléctricos de uso doméstico, destinadas al lavado y enjuague de platos, cubiertos y otros utensilios, siendo su tensión nominal no superior a 250 V. </w:t>
            </w:r>
          </w:p>
          <w:p w14:paraId="132ACD77">
            <w:pPr>
              <w:spacing w:before="120" w:after="120"/>
            </w:pPr>
            <w:r>
              <w:t>Se excluyen:</w:t>
            </w:r>
          </w:p>
          <w:p w14:paraId="6C18FFFB">
            <w:pPr>
              <w:numPr>
                <w:ilvl w:val="0"/>
                <w:numId w:val="7"/>
              </w:numPr>
              <w:spacing w:before="120" w:after="120"/>
            </w:pPr>
            <w:r>
              <w:t>Lavavajillas destinadas a ser utilizadas profesionalmente para lavar y enjuagar platos, cubiertos y otros utensilios que se utilizan con fines comerciales (IEC 60335-2-58).</w:t>
            </w:r>
          </w:p>
          <w:p w14:paraId="16213167">
            <w:pPr>
              <w:numPr>
                <w:ilvl w:val="0"/>
                <w:numId w:val="7"/>
              </w:numPr>
              <w:spacing w:before="120" w:after="120"/>
            </w:pPr>
            <w:r>
              <w:t>Lavavajillas destinadas a fines industriales.</w:t>
            </w:r>
          </w:p>
          <w:p w14:paraId="195A64BC">
            <w:pPr>
              <w:spacing w:before="120" w:after="120"/>
            </w:pPr>
            <w:r>
              <w:t>Lavavajillas destinados a ser utilizados en lugares donde prevalecen condiciones especiales, como la presencia de atmósfera corrosiva o explosiva (polvo, vapor o gas).</w:t>
            </w:r>
          </w:p>
        </w:tc>
      </w:tr>
      <w:tr w14:paraId="7019366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  <w:vAlign w:val="top"/>
          </w:tcPr>
          <w:p w14:paraId="6E136B16">
            <w:pPr>
              <w:spacing w:before="120" w:after="120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  <w:vAlign w:val="top"/>
          </w:tcPr>
          <w:p w14:paraId="7A001457">
            <w:pPr>
              <w:spacing w:before="120" w:after="120"/>
            </w:pPr>
            <w:r>
              <w:rPr>
                <w:b/>
              </w:rPr>
              <w:t>Objetivo y razón de ser, incluida, cuando proceda, la naturaleza de los problemas urgentes:</w:t>
            </w:r>
            <w:r>
              <w:t xml:space="preserve"> Protección de la salud o seguridad humanas</w:t>
            </w:r>
          </w:p>
        </w:tc>
      </w:tr>
      <w:tr w14:paraId="5BCBBB8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  <w:vAlign w:val="top"/>
          </w:tcPr>
          <w:p w14:paraId="1249F84C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  <w:vAlign w:val="top"/>
          </w:tcPr>
          <w:p w14:paraId="5F020E9D">
            <w:pPr>
              <w:spacing w:before="120" w:after="120"/>
              <w:rPr>
                <w:bCs/>
              </w:rPr>
            </w:pPr>
            <w:r>
              <w:rPr>
                <w:b/>
              </w:rPr>
              <w:t>Documentos pertinentes:</w:t>
            </w:r>
            <w:r>
              <w:t xml:space="preserve"> </w:t>
            </w:r>
          </w:p>
          <w:p w14:paraId="777559EE">
            <w:pPr>
              <w:numPr>
                <w:ilvl w:val="0"/>
                <w:numId w:val="8"/>
              </w:numPr>
              <w:spacing w:before="120" w:after="120"/>
            </w:pPr>
            <w:r>
              <w:t>IEC 60335-2-5:2018-02 Edición 6.1 Parte 2-5: Requisitos particulares para lavavajillas.</w:t>
            </w:r>
          </w:p>
          <w:p w14:paraId="6C0803EF">
            <w:pPr>
              <w:numPr>
                <w:ilvl w:val="0"/>
                <w:numId w:val="8"/>
              </w:numPr>
              <w:spacing w:before="120" w:after="120"/>
            </w:pPr>
            <w:r>
              <w:t>IEC 60335-1:2010-05 Edición 5.0 - Aparatos electrodomésticos y análogos – Seguridad - Parte 1: Requisitos generales.</w:t>
            </w:r>
          </w:p>
          <w:p w14:paraId="0A8BC710">
            <w:pPr>
              <w:numPr>
                <w:ilvl w:val="0"/>
                <w:numId w:val="8"/>
              </w:numPr>
              <w:spacing w:before="120" w:after="120"/>
            </w:pPr>
            <w:r>
              <w:t>Ley Nº 18.410:1985 del Ministerio de Economía, Fomento y Reconstrucción.</w:t>
            </w:r>
          </w:p>
          <w:p w14:paraId="2F605F32">
            <w:pPr>
              <w:numPr>
                <w:ilvl w:val="0"/>
                <w:numId w:val="8"/>
              </w:numPr>
              <w:spacing w:before="120" w:after="120"/>
            </w:pPr>
            <w:r>
              <w:t>D.S. Nº 298, de 2005, del Ministerio de Economía, Fomento y Reconstrucción.</w:t>
            </w:r>
          </w:p>
          <w:p w14:paraId="16923574">
            <w:pPr>
              <w:numPr>
                <w:ilvl w:val="0"/>
                <w:numId w:val="7"/>
              </w:numPr>
              <w:spacing w:before="120" w:after="120"/>
              <w:ind w:left="720" w:leftChars="0" w:hanging="360" w:firstLineChars="0"/>
            </w:pPr>
            <w:r>
              <w:t>R.E. Nº89 de fecha 07.12.1998 del Ministerio de Economía, Fomento y Reconstrucción.</w:t>
            </w:r>
          </w:p>
        </w:tc>
      </w:tr>
      <w:tr w14:paraId="00B83A61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1E6B384">
            <w:pPr>
              <w:spacing w:before="120" w:after="120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A8197A1">
            <w:pPr>
              <w:spacing w:before="120" w:after="120"/>
              <w:rPr>
                <w:rFonts w:hint="eastAsia" w:eastAsia="宋体"/>
                <w:bCs/>
                <w:lang w:eastAsia="zh-CN"/>
              </w:rPr>
            </w:pPr>
            <w:r>
              <w:rPr>
                <w:b/>
              </w:rPr>
              <w:t>Fecha propuesta de adopción:</w:t>
            </w:r>
            <w:r>
              <w:t xml:space="preserve"> Por determinar</w:t>
            </w:r>
          </w:p>
          <w:p w14:paraId="58A30308">
            <w:pPr>
              <w:spacing w:after="120"/>
              <w:rPr>
                <w:rFonts w:hint="eastAsia" w:eastAsia="宋体"/>
                <w:b/>
                <w:lang w:eastAsia="zh-CN"/>
              </w:rPr>
            </w:pPr>
            <w:r>
              <w:rPr>
                <w:b/>
              </w:rPr>
              <w:t>Fecha propuesta de entrada en vigor:</w:t>
            </w:r>
            <w:r>
              <w:t xml:space="preserve"> Por determinar</w:t>
            </w:r>
          </w:p>
        </w:tc>
      </w:tr>
      <w:tr w14:paraId="0426CF0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6A44101">
            <w:pPr>
              <w:spacing w:before="120" w:after="120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65E8BD2">
            <w:pPr>
              <w:spacing w:before="120" w:after="120"/>
              <w:rPr>
                <w:rFonts w:hint="eastAsia" w:eastAsia="宋体"/>
                <w:lang w:eastAsia="zh-CN"/>
              </w:rPr>
            </w:pPr>
            <w:r>
              <w:rPr>
                <w:b/>
              </w:rPr>
              <w:t>Fecha límite para la presentación de observaciones:</w:t>
            </w:r>
            <w:r>
              <w:t xml:space="preserve"> 22 de septiembre de 2025</w:t>
            </w:r>
          </w:p>
          <w:p w14:paraId="3A911472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rFonts w:hint="eastAsia" w:eastAsia="宋体"/>
                <w:b/>
                <w:lang w:val="en-US" w:eastAsia="zh-CN"/>
              </w:rPr>
            </w:pPr>
            <w:r>
              <w:rPr>
                <w:b/>
              </w:rPr>
              <w:t>[X] 60 days from notification</w:t>
            </w:r>
            <w:r>
              <w:rPr>
                <w:rFonts w:hint="eastAsia" w:eastAsia="宋体"/>
                <w:b/>
                <w:lang w:val="en-US" w:eastAsia="zh-CN"/>
              </w:rPr>
              <w:t xml:space="preserve"> </w:t>
            </w:r>
          </w:p>
          <w:p w14:paraId="765A9275">
            <w:pPr>
              <w:spacing w:before="120" w:after="120"/>
              <w:rPr>
                <w:bCs/>
              </w:rPr>
            </w:pPr>
            <w:r>
              <w:rPr>
                <w:b/>
              </w:rPr>
              <w:t>Datos de contacto del organismo o la autoridad encargados de dar trámite a las observaciones sobre la notificación de que se trate:</w:t>
            </w:r>
            <w:r>
              <w:rPr>
                <w:bCs/>
              </w:rPr>
              <w:t xml:space="preserve"> </w:t>
            </w:r>
          </w:p>
          <w:p w14:paraId="6E179FD9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(a) In relation to Technical Regulations (Article 10.1):</w:t>
            </w:r>
          </w:p>
          <w:p w14:paraId="1B5C47F6">
            <w:pPr>
              <w:rPr>
                <w:bCs/>
              </w:rPr>
            </w:pPr>
            <w:r>
              <w:rPr>
                <w:bCs/>
              </w:rPr>
              <w:t>Ministerio de Relaciones Exteriores</w:t>
            </w:r>
          </w:p>
          <w:p w14:paraId="3E417339">
            <w:pPr>
              <w:rPr>
                <w:bCs/>
              </w:rPr>
            </w:pPr>
            <w:r>
              <w:rPr>
                <w:bCs/>
              </w:rPr>
              <w:t>Subsecretaría de Relaciones Económicas Internacionales (SUBREI)</w:t>
            </w:r>
          </w:p>
          <w:p w14:paraId="6FEE16CA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Contact: TBT Sub-Department</w:t>
            </w:r>
          </w:p>
          <w:p w14:paraId="1BED2F5B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Bombero Salas 1345</w:t>
            </w:r>
          </w:p>
          <w:p w14:paraId="753E8627">
            <w:pPr>
              <w:rPr>
                <w:bCs/>
              </w:rPr>
            </w:pPr>
            <w:r>
              <w:rPr>
                <w:bCs/>
              </w:rPr>
              <w:t>Piso 11</w:t>
            </w:r>
          </w:p>
          <w:p w14:paraId="7AAD8D09">
            <w:pPr>
              <w:rPr>
                <w:bCs/>
              </w:rPr>
            </w:pPr>
            <w:r>
              <w:rPr>
                <w:bCs/>
              </w:rPr>
              <w:t>Santiago</w:t>
            </w:r>
          </w:p>
          <w:p w14:paraId="6F0890AC">
            <w:pPr>
              <w:rPr>
                <w:bCs/>
              </w:rPr>
            </w:pPr>
            <w:r>
              <w:rPr>
                <w:bCs/>
              </w:rPr>
              <w:t>Tel: +(56 2) 2827 5250</w:t>
            </w:r>
          </w:p>
          <w:p w14:paraId="36A300CF">
            <w:pPr>
              <w:rPr>
                <w:bCs/>
              </w:rPr>
            </w:pPr>
            <w:r>
              <w:rPr>
                <w:bCs/>
              </w:rPr>
              <w:t>Fax: +(56 2) 380 9494</w:t>
            </w:r>
          </w:p>
          <w:p w14:paraId="2662D573">
            <w:pPr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"mailto:tbt_chile@subrei.gob.cl"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tbt_chile@subrei.gob.cl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261890D0">
            <w:pPr>
              <w:rPr>
                <w:bCs/>
              </w:rPr>
            </w:pPr>
          </w:p>
          <w:p w14:paraId="38A364DC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(b) In relation to Standards (Article 10.3):</w:t>
            </w:r>
          </w:p>
          <w:p w14:paraId="6F611BB8">
            <w:pPr>
              <w:rPr>
                <w:bCs/>
              </w:rPr>
            </w:pPr>
            <w:r>
              <w:rPr>
                <w:bCs/>
              </w:rPr>
              <w:t>Instituto Nacional de Normalización</w:t>
            </w:r>
          </w:p>
          <w:p w14:paraId="7B714CD7">
            <w:pPr>
              <w:rPr>
                <w:bCs/>
              </w:rPr>
            </w:pPr>
            <w:r>
              <w:rPr>
                <w:bCs/>
              </w:rPr>
              <w:t>Alameda 1449 Torre 7 Piso 16</w:t>
            </w:r>
          </w:p>
          <w:p w14:paraId="449DBCA1">
            <w:pPr>
              <w:rPr>
                <w:bCs/>
              </w:rPr>
            </w:pPr>
            <w:r>
              <w:rPr>
                <w:bCs/>
              </w:rPr>
              <w:t>Santiago</w:t>
            </w:r>
          </w:p>
          <w:p w14:paraId="725A554F">
            <w:pPr>
              <w:rPr>
                <w:bCs/>
              </w:rPr>
            </w:pPr>
            <w:r>
              <w:rPr>
                <w:bCs/>
              </w:rPr>
              <w:t>Tel: +(56 2) 2445 8000</w:t>
            </w:r>
          </w:p>
          <w:p w14:paraId="0E87BC53">
            <w:pPr>
              <w:rPr>
                <w:bCs/>
              </w:rPr>
            </w:pPr>
            <w:r>
              <w:rPr>
                <w:bCs/>
              </w:rPr>
              <w:t>Fax: +(56 2) 2441 0427</w:t>
            </w:r>
          </w:p>
          <w:p w14:paraId="54E5497D">
            <w:pPr>
              <w:spacing w:before="120" w:after="120"/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"mailto:info@inn.cl"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info@inn.cl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4A5D13C1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rFonts w:hint="eastAsia"/>
                <w:bCs/>
                <w:color w:val="0000FF"/>
                <w:u w:val="single"/>
                <w:lang w:eastAsia="zh-CN"/>
              </w:rPr>
            </w:pPr>
          </w:p>
        </w:tc>
      </w:tr>
      <w:tr w14:paraId="511E7B2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</w:tcBorders>
            <w:shd w:val="clear" w:color="auto" w:fill="auto"/>
          </w:tcPr>
          <w:p w14:paraId="5FE13448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524" w:type="dxa"/>
            <w:tcBorders>
              <w:top w:val="single" w:color="auto" w:sz="6" w:space="0"/>
            </w:tcBorders>
            <w:shd w:val="clear" w:color="auto" w:fill="auto"/>
          </w:tcPr>
          <w:p w14:paraId="5D9F87D8">
            <w:pPr>
              <w:keepNext/>
              <w:keepLines/>
              <w:spacing w:before="120" w:after="120"/>
            </w:pPr>
            <w:r>
              <w:rPr>
                <w:b/>
              </w:rPr>
              <w:t>Textos disponibles en: Servicio nacional de información [X], o dirección, números de teléfono y de fax y direcciones de correo electrónico y sitios web, en su caso, de otra institución:</w:t>
            </w:r>
            <w:r>
              <w:t xml:space="preserve"> </w:t>
            </w:r>
          </w:p>
          <w:p w14:paraId="6C76EB1D">
            <w:pPr>
              <w:pBdr>
                <w:top w:val="none" w:color="auto" w:sz="0" w:space="4"/>
                <w:bottom w:val="none" w:color="auto" w:sz="0" w:space="4"/>
              </w:pBdr>
              <w:rPr>
                <w:bCs/>
              </w:rPr>
            </w:pPr>
            <w:r>
              <w:fldChar w:fldCharType="begin"/>
            </w:r>
            <w:r>
              <w:instrText xml:space="preserve"> HYPERLINK "https://members.wto.org/crnattachments/2025/TBT/CHL/25_04824_00_s.pdf"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https://members.wto.org/crnattachments/2025/TBT/CHL/25_04824_00_s.pdf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22853847">
            <w:pPr>
              <w:keepNext/>
              <w:keepLines/>
              <w:pBdr>
                <w:top w:val="none" w:color="auto" w:sz="0" w:space="4"/>
              </w:pBdr>
              <w:spacing w:after="120"/>
            </w:pPr>
            <w:r>
              <w:fldChar w:fldCharType="begin"/>
            </w:r>
            <w:r>
              <w:instrText xml:space="preserve"> HYPERLINK "https://www.sec.cl/sitio-web/wp-content/uploads/2025/07/PE-N%C2%B01-04_2025-Lavavajillas.pdf"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https://www.sec.cl/sitio-web/wp-content/uploads/2025/07/PE-N%C2%B01-04_2025-Lavavajillas.pdf</w:t>
            </w:r>
            <w:r>
              <w:rPr>
                <w:bCs/>
                <w:color w:val="0000FF"/>
                <w:u w:val="single"/>
              </w:rPr>
              <w:fldChar w:fldCharType="end"/>
            </w:r>
            <w:bookmarkStart w:id="10" w:name="_GoBack"/>
            <w:bookmarkEnd w:id="10"/>
          </w:p>
        </w:tc>
      </w:tr>
    </w:tbl>
    <w:p w14:paraId="70992694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CE1553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3F9F1B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B94452"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B9376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bookmarkStart w:id="9" w:name="spsSymbolHeader"/>
    <w:r>
      <w:t>G/TBT/N/CHL/738</w:t>
    </w:r>
    <w:bookmarkEnd w:id="9"/>
  </w:p>
  <w:p w14:paraId="678F664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03536EF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t xml:space="preserve"> -</w:t>
    </w:r>
  </w:p>
  <w:p w14:paraId="32D3A90E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54900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tbtSymbol</w:t>
    </w:r>
  </w:p>
  <w:p w14:paraId="6B26AFB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462EEE0B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-</w:t>
    </w:r>
  </w:p>
  <w:p w14:paraId="116F069F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818"/>
      <w:gridCol w:w="2141"/>
      <w:gridCol w:w="3283"/>
    </w:tblGrid>
    <w:tr w14:paraId="6D650BEA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F96B152">
          <w:pPr>
            <w:rPr>
              <w:szCs w:val="18"/>
              <w:lang w:eastAsia="en-GB"/>
            </w:rPr>
          </w:pPr>
          <w:bookmarkStart w:id="0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31D7D85">
          <w:pPr>
            <w:jc w:val="right"/>
            <w:rPr>
              <w:b/>
              <w:color w:val="FF0000"/>
              <w:szCs w:val="18"/>
            </w:rPr>
          </w:pPr>
        </w:p>
      </w:tc>
    </w:tr>
    <w:bookmarkEnd w:id="0"/>
    <w:tr w14:paraId="04619C7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818" w:type="dxa"/>
          <w:vMerge w:val="restart"/>
          <w:shd w:val="clear" w:color="auto" w:fill="FFFFFF"/>
        </w:tcPr>
        <w:p w14:paraId="5886FD7A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4DB719B2">
          <w:pPr>
            <w:jc w:val="right"/>
            <w:rPr>
              <w:b/>
              <w:szCs w:val="18"/>
            </w:rPr>
          </w:pPr>
        </w:p>
      </w:tc>
    </w:tr>
    <w:tr w14:paraId="0FC51FC2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818" w:type="dxa"/>
          <w:vMerge w:val="continue"/>
          <w:vAlign w:val="center"/>
        </w:tcPr>
        <w:p w14:paraId="2FBCD3DB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7A1842BC">
          <w:pPr>
            <w:jc w:val="right"/>
            <w:rPr>
              <w:rFonts w:hint="default" w:eastAsia="宋体"/>
              <w:b/>
              <w:szCs w:val="18"/>
              <w:lang w:val="en-US" w:eastAsia="zh-CN"/>
            </w:rPr>
          </w:pPr>
          <w:bookmarkStart w:id="1" w:name="bmkSymbols"/>
          <w:r>
            <w:rPr>
              <w:b/>
              <w:szCs w:val="18"/>
            </w:rPr>
            <w:t>G/TBT/N/</w:t>
          </w:r>
          <w:r>
            <w:rPr>
              <w:rFonts w:hint="eastAsia" w:eastAsia="宋体"/>
              <w:b/>
              <w:szCs w:val="18"/>
              <w:lang w:val="en-US" w:eastAsia="zh-CN"/>
            </w:rPr>
            <w:t>CH</w:t>
          </w:r>
          <w:r>
            <w:rPr>
              <w:b/>
              <w:szCs w:val="18"/>
            </w:rPr>
            <w:t>L/</w:t>
          </w:r>
          <w:bookmarkEnd w:id="1"/>
          <w:r>
            <w:rPr>
              <w:rFonts w:hint="eastAsia" w:eastAsia="宋体"/>
              <w:b/>
              <w:szCs w:val="18"/>
              <w:lang w:val="en-US" w:eastAsia="zh-CN"/>
            </w:rPr>
            <w:t>745</w:t>
          </w:r>
        </w:p>
      </w:tc>
    </w:tr>
    <w:tr w14:paraId="2C0D33BE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vMerge w:val="continue"/>
          <w:vAlign w:val="center"/>
        </w:tcPr>
        <w:p w14:paraId="186019E4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9CDED16">
          <w:pPr>
            <w:jc w:val="right"/>
            <w:rPr>
              <w:szCs w:val="18"/>
            </w:rPr>
          </w:pPr>
          <w:bookmarkStart w:id="2" w:name="bmkDate"/>
          <w:bookmarkStart w:id="3" w:name="spsDateDistribution"/>
          <w:r>
            <w:rPr>
              <w:szCs w:val="18"/>
            </w:rPr>
            <w:t>24 de julio de 2025</w:t>
          </w:r>
          <w:bookmarkEnd w:id="2"/>
          <w:bookmarkEnd w:id="3"/>
        </w:p>
      </w:tc>
    </w:tr>
    <w:tr w14:paraId="68F67FC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186D632">
          <w:pPr>
            <w:jc w:val="left"/>
            <w:rPr>
              <w:b/>
              <w:szCs w:val="18"/>
            </w:rPr>
          </w:pPr>
          <w:bookmarkStart w:id="4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4767</w:t>
          </w:r>
          <w:r>
            <w:rPr>
              <w:b w:val="0"/>
              <w:color w:val="FF0000"/>
            </w:rPr>
            <w:t>)</w:t>
          </w:r>
          <w:bookmarkEnd w:id="4"/>
        </w:p>
      </w:tc>
      <w:tc>
        <w:tcPr>
          <w:tcW w:w="3283" w:type="dxa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CD3EB4A">
          <w:pPr>
            <w:jc w:val="right"/>
            <w:rPr>
              <w:szCs w:val="18"/>
            </w:rPr>
          </w:pPr>
          <w:bookmarkStart w:id="5" w:name="bmkTotPages"/>
          <w:r>
            <w:rPr>
              <w:bCs/>
              <w:szCs w:val="18"/>
            </w:rPr>
            <w:t xml:space="preserve">Página: 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PAGE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1</w:t>
          </w:r>
          <w:r>
            <w:rPr>
              <w:szCs w:val="18"/>
            </w:rPr>
            <w:fldChar w:fldCharType="end"/>
          </w:r>
          <w:r>
            <w:rPr>
              <w:bCs/>
              <w:szCs w:val="18"/>
            </w:rPr>
            <w:t>/</w:t>
          </w:r>
          <w:r>
            <w:rPr>
              <w:rFonts w:hint="eastAsia" w:eastAsia="宋体"/>
              <w:bCs/>
              <w:szCs w:val="18"/>
              <w:lang w:val="en-US" w:eastAsia="zh-CN"/>
            </w:rPr>
            <w:t>2</w:t>
          </w:r>
          <w:bookmarkEnd w:id="5"/>
        </w:p>
      </w:tc>
    </w:tr>
    <w:tr w14:paraId="74D5242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59" w:type="dxa"/>
          <w:gridSpan w:val="2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38FCAFB">
          <w:pPr>
            <w:jc w:val="left"/>
            <w:rPr>
              <w:szCs w:val="18"/>
            </w:rPr>
          </w:pPr>
          <w:bookmarkStart w:id="6" w:name="bmkCommittee"/>
          <w:r>
            <w:rPr>
              <w:b/>
              <w:szCs w:val="18"/>
            </w:rPr>
            <w:t>Comité de Obstáculos Técnicos al Comercio</w:t>
          </w:r>
          <w:bookmarkEnd w:id="6"/>
        </w:p>
      </w:tc>
      <w:tc>
        <w:tcPr>
          <w:tcW w:w="3283" w:type="dxa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E6ADE0B">
          <w:pPr>
            <w:jc w:val="right"/>
            <w:rPr>
              <w:bCs/>
              <w:szCs w:val="18"/>
            </w:rPr>
          </w:pPr>
          <w:bookmarkStart w:id="7" w:name="bmkLanguage"/>
          <w:r>
            <w:rPr>
              <w:bCs/>
              <w:szCs w:val="18"/>
            </w:rPr>
            <w:t xml:space="preserve">Original: </w:t>
          </w:r>
          <w:bookmarkStart w:id="8" w:name="spsOriginalLanguage"/>
          <w:r>
            <w:rPr>
              <w:bCs/>
              <w:szCs w:val="18"/>
            </w:rPr>
            <w:t>español</w:t>
          </w:r>
          <w:bookmarkEnd w:id="7"/>
          <w:bookmarkEnd w:id="8"/>
        </w:p>
      </w:tc>
    </w:tr>
  </w:tbl>
  <w:p w14:paraId="2FDA174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77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3D526BB"/>
    <w:multiLevelType w:val="multilevel"/>
    <w:tmpl w:val="63D526BB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7">
    <w:nsid w:val="63D526BC"/>
    <w:multiLevelType w:val="multilevel"/>
    <w:tmpl w:val="63D526BC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removePersonalInformation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9"/>
    <w:rsid w:val="00004820"/>
    <w:rsid w:val="000074D5"/>
    <w:rsid w:val="00016119"/>
    <w:rsid w:val="0002424F"/>
    <w:rsid w:val="00033711"/>
    <w:rsid w:val="00057BEF"/>
    <w:rsid w:val="00067D73"/>
    <w:rsid w:val="00071B26"/>
    <w:rsid w:val="0008008F"/>
    <w:rsid w:val="00092794"/>
    <w:rsid w:val="00093FCA"/>
    <w:rsid w:val="000A7098"/>
    <w:rsid w:val="000B12FE"/>
    <w:rsid w:val="000C724C"/>
    <w:rsid w:val="000D23F0"/>
    <w:rsid w:val="000D2FB0"/>
    <w:rsid w:val="000D4C66"/>
    <w:rsid w:val="00104D9E"/>
    <w:rsid w:val="00114B29"/>
    <w:rsid w:val="001171A2"/>
    <w:rsid w:val="00120B96"/>
    <w:rsid w:val="001273FC"/>
    <w:rsid w:val="001338F0"/>
    <w:rsid w:val="0014012F"/>
    <w:rsid w:val="001426D0"/>
    <w:rsid w:val="0017356C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49CB"/>
    <w:rsid w:val="002242B5"/>
    <w:rsid w:val="002433AD"/>
    <w:rsid w:val="00255119"/>
    <w:rsid w:val="00266494"/>
    <w:rsid w:val="00272713"/>
    <w:rsid w:val="00276383"/>
    <w:rsid w:val="00287066"/>
    <w:rsid w:val="002B0C97"/>
    <w:rsid w:val="002E4A00"/>
    <w:rsid w:val="003267CD"/>
    <w:rsid w:val="00334600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3682"/>
    <w:rsid w:val="003F46BB"/>
    <w:rsid w:val="00412DAF"/>
    <w:rsid w:val="004263C0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ADE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605630"/>
    <w:rsid w:val="00617B12"/>
    <w:rsid w:val="006652F7"/>
    <w:rsid w:val="00674766"/>
    <w:rsid w:val="00674833"/>
    <w:rsid w:val="00677F2C"/>
    <w:rsid w:val="00683277"/>
    <w:rsid w:val="00696361"/>
    <w:rsid w:val="006A2F2A"/>
    <w:rsid w:val="006A63E9"/>
    <w:rsid w:val="006C0F04"/>
    <w:rsid w:val="006D492E"/>
    <w:rsid w:val="006E0C67"/>
    <w:rsid w:val="006F728A"/>
    <w:rsid w:val="00702623"/>
    <w:rsid w:val="00713022"/>
    <w:rsid w:val="00727F5B"/>
    <w:rsid w:val="00735ADA"/>
    <w:rsid w:val="00744D6F"/>
    <w:rsid w:val="007461AF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60CC"/>
    <w:rsid w:val="008A1305"/>
    <w:rsid w:val="008A2F61"/>
    <w:rsid w:val="008E4B39"/>
    <w:rsid w:val="0090284E"/>
    <w:rsid w:val="00912133"/>
    <w:rsid w:val="0091417D"/>
    <w:rsid w:val="00917BFE"/>
    <w:rsid w:val="00924FA9"/>
    <w:rsid w:val="009304CB"/>
    <w:rsid w:val="0093775F"/>
    <w:rsid w:val="00946686"/>
    <w:rsid w:val="009613B7"/>
    <w:rsid w:val="009A0D78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26FF0"/>
    <w:rsid w:val="00A37C79"/>
    <w:rsid w:val="00A42A6A"/>
    <w:rsid w:val="00A46611"/>
    <w:rsid w:val="00A52F73"/>
    <w:rsid w:val="00A5462B"/>
    <w:rsid w:val="00A60556"/>
    <w:rsid w:val="00A627A8"/>
    <w:rsid w:val="00A634E9"/>
    <w:rsid w:val="00A67526"/>
    <w:rsid w:val="00A73F8C"/>
    <w:rsid w:val="00A803F2"/>
    <w:rsid w:val="00A84BF5"/>
    <w:rsid w:val="00A950D3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32C0D"/>
    <w:rsid w:val="00B4336E"/>
    <w:rsid w:val="00B45327"/>
    <w:rsid w:val="00B45F9E"/>
    <w:rsid w:val="00B46156"/>
    <w:rsid w:val="00B531D9"/>
    <w:rsid w:val="00B729C4"/>
    <w:rsid w:val="00B7403D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7117"/>
    <w:rsid w:val="00CB2591"/>
    <w:rsid w:val="00CD0195"/>
    <w:rsid w:val="00CD0728"/>
    <w:rsid w:val="00CD5EC3"/>
    <w:rsid w:val="00CE1C9D"/>
    <w:rsid w:val="00CF4D05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94AEA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4613"/>
    <w:rsid w:val="00E764A5"/>
    <w:rsid w:val="00E81A56"/>
    <w:rsid w:val="00E844E4"/>
    <w:rsid w:val="00E95E51"/>
    <w:rsid w:val="00E97806"/>
    <w:rsid w:val="00EA1572"/>
    <w:rsid w:val="00EB1D8F"/>
    <w:rsid w:val="00EB4982"/>
    <w:rsid w:val="00EB58AC"/>
    <w:rsid w:val="00EB7769"/>
    <w:rsid w:val="00ED3396"/>
    <w:rsid w:val="00EE50B7"/>
    <w:rsid w:val="00EF045A"/>
    <w:rsid w:val="00EF756F"/>
    <w:rsid w:val="00F009AC"/>
    <w:rsid w:val="00F11625"/>
    <w:rsid w:val="00F325A3"/>
    <w:rsid w:val="00F35602"/>
    <w:rsid w:val="00F4794A"/>
    <w:rsid w:val="00F629A0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  <w:rsid w:val="27834705"/>
    <w:rsid w:val="63B74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qFormat="1" w:unhideWhenUsed="0" w:uiPriority="2" w:semiHidden="0" w:name="heading 7"/>
    <w:lsdException w:qFormat="1" w:unhideWhenUsed="0" w:uiPriority="2" w:semiHidden="0" w:name="heading 8"/>
    <w:lsdException w:qFormat="1" w:unhideWhenUsed="0" w:uiPriority="2" w:semiHidden="0" w:name="heading 9"/>
    <w:lsdException w:qFormat="1" w:uiPriority="99" w:name="index 1"/>
    <w:lsdException w:qFormat="1" w:uiPriority="99" w:name="index 2"/>
    <w:lsdException w:qFormat="1" w:uiPriority="99" w:name="index 3"/>
    <w:lsdException w:qFormat="1" w:uiPriority="99" w:name="index 4"/>
    <w:lsdException w:qFormat="1" w:uiPriority="99" w:name="index 5"/>
    <w:lsdException w:qFormat="1" w:uiPriority="99" w:name="index 6"/>
    <w:lsdException w:qFormat="1" w:uiPriority="99" w:name="index 7"/>
    <w:lsdException w:qFormat="1" w:uiPriority="99" w:name="index 8"/>
    <w:lsdException w:qFormat="1"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iPriority="99" w:name="Normal Indent"/>
    <w:lsdException w:qFormat="1" w:unhideWhenUsed="0" w:uiPriority="5" w:semiHidden="0" w:name="footnote text"/>
    <w:lsdException w:qFormat="1" w:uiPriority="99" w:semiHidden="0" w:name="annotation text"/>
    <w:lsdException w:qFormat="1" w:unhideWhenUsed="0" w:uiPriority="3" w:semiHidden="0" w:name="header"/>
    <w:lsdException w:qFormat="1" w:unhideWhenUsed="0" w:uiPriority="3" w:semiHidden="0" w:name="footer"/>
    <w:lsdException w:qFormat="1" w:uiPriority="99" w:name="index heading"/>
    <w:lsdException w:qFormat="1" w:unhideWhenUsed="0" w:uiPriority="6" w:semiHidden="0" w:name="caption"/>
    <w:lsdException w:qFormat="1" w:unhideWhenUsed="0" w:uiPriority="39" w:semiHidden="0" w:name="table of figures"/>
    <w:lsdException w:qFormat="1" w:uiPriority="99" w:name="envelope address"/>
    <w:lsdException w:qFormat="1" w:uiPriority="99" w:name="envelope return"/>
    <w:lsdException w:qFormat="1" w:unhideWhenUsed="0" w:uiPriority="5" w:semiHidden="0" w:name="footnote reference"/>
    <w:lsdException w:qFormat="1" w:uiPriority="99" w:name="annotation reference"/>
    <w:lsdException w:qFormat="1" w:uiPriority="99" w:name="line number"/>
    <w:lsdException w:qFormat="1" w:uiPriority="99" w:name="page number"/>
    <w:lsdException w:qFormat="1" w:unhideWhenUsed="0" w:uiPriority="49" w:semiHidden="0" w:name="endnote reference"/>
    <w:lsdException w:qFormat="1" w:unhideWhenUsed="0" w:uiPriority="49" w:semiHidden="0" w:name="endnote text"/>
    <w:lsdException w:qFormat="1" w:unhideWhenUsed="0" w:uiPriority="39" w:semiHidden="0" w:name="table of authorities"/>
    <w:lsdException w:qFormat="1" w:uiPriority="99" w:name="macro"/>
    <w:lsdException w:qFormat="1" w:uiPriority="39" w:semiHidden="0" w:name="toa heading"/>
    <w:lsdException w:qFormat="1" w:uiPriority="99" w:name="List"/>
    <w:lsdException w:qFormat="1" w:unhideWhenUsed="0" w:uiPriority="1" w:semiHidden="0" w:name="List Bullet"/>
    <w:lsdException w:qFormat="1" w:uiPriority="4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qFormat="1" w:unhideWhenUsed="0" w:uiPriority="1" w:semiHidden="0" w:name="List Bullet 2"/>
    <w:lsdException w:qFormat="1" w:unhideWhenUsed="0" w:uiPriority="1" w:semiHidden="0" w:name="List Bullet 3"/>
    <w:lsdException w:qFormat="1" w:unhideWhenUsed="0" w:uiPriority="1" w:semiHidden="0" w:name="List Bullet 4"/>
    <w:lsdException w:qFormat="1" w:unhideWhenUsed="0" w:uiPriority="1" w:semiHidden="0" w:name="List Bullet 5"/>
    <w:lsdException w:qFormat="1" w:uiPriority="49" w:name="List Number 2"/>
    <w:lsdException w:qFormat="1" w:uiPriority="49" w:name="List Number 3"/>
    <w:lsdException w:qFormat="1" w:uiPriority="49" w:name="List Number 4"/>
    <w:lsdException w:qFormat="1" w:uiPriority="49" w:name="List Number 5"/>
    <w:lsdException w:qFormat="1" w:unhideWhenUsed="0" w:uiPriority="5" w:semiHidden="0" w:name="Title"/>
    <w:lsdException w:qFormat="1" w:uiPriority="99" w:name="Closing"/>
    <w:lsdException w:qFormat="1" w:uiPriority="99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qFormat="1" w:uiPriority="99" w:name="List Continue"/>
    <w:lsdException w:qFormat="1" w:uiPriority="99" w:name="List Continue 2"/>
    <w:lsdException w:qFormat="1" w:uiPriority="99" w:name="List Continue 3"/>
    <w:lsdException w:qFormat="1" w:uiPriority="99" w:name="List Continue 4"/>
    <w:lsdException w:qFormat="1" w:uiPriority="99" w:name="List Continue 5"/>
    <w:lsdException w:qFormat="1" w:uiPriority="99" w:name="Message Header"/>
    <w:lsdException w:qFormat="1" w:unhideWhenUsed="0" w:uiPriority="6" w:semiHidden="0" w:name="Subtitle"/>
    <w:lsdException w:qFormat="1" w:uiPriority="99" w:name="Salutation"/>
    <w:lsdException w:qFormat="1" w:uiPriority="99" w:name="Date"/>
    <w:lsdException w:qFormat="1" w:uiPriority="99" w:name="Body Text First Indent"/>
    <w:lsdException w:qFormat="1" w:uiPriority="99" w:name="Body Text First Indent 2"/>
    <w:lsdException w:qFormat="1"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qFormat="1" w:uiPriority="99" w:name="Body Text Indent 2"/>
    <w:lsdException w:qFormat="1" w:uiPriority="99" w:name="Body Text Indent 3"/>
    <w:lsdException w:qFormat="1" w:uiPriority="99" w:name="Block Text"/>
    <w:lsdException w:qFormat="1" w:uiPriority="9" w:semiHidden="0" w:name="Hyperlink"/>
    <w:lsdException w:qFormat="1" w:uiPriority="9" w:semiHidden="0" w:name="FollowedHyperlink"/>
    <w:lsdException w:qFormat="1" w:unhideWhenUsed="0" w:uiPriority="99" w:name="Strong"/>
    <w:lsdException w:qFormat="1" w:unhideWhenUsed="0" w:uiPriority="99" w:name="Emphasis"/>
    <w:lsdException w:qFormat="1" w:uiPriority="99" w:name="Document Map"/>
    <w:lsdException w:qFormat="1" w:uiPriority="99" w:semiHidden="0" w:name="Plain Text"/>
    <w:lsdException w:qFormat="1" w:uiPriority="99" w:name="E-mail Signature"/>
    <w:lsdException w:qFormat="1" w:uiPriority="99" w:name="Normal (Web)"/>
    <w:lsdException w:qFormat="1" w:uiPriority="99" w:name="HTML Acronym"/>
    <w:lsdException w:qFormat="1"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qFormat="1"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qFormat="1" w:uiPriority="99" w:semiHidden="0" w:name="annotation subject"/>
    <w:lsdException w:qFormat="1" w:uiPriority="99" w:name="Table Simple 1"/>
    <w:lsdException w:qFormat="1" w:uiPriority="99" w:name="Table Simple 2"/>
    <w:lsdException w:qFormat="1" w:uiPriority="99" w:name="Table Simple 3"/>
    <w:lsdException w:qFormat="1" w:uiPriority="99" w:name="Table Classic 1"/>
    <w:lsdException w:qFormat="1" w:uiPriority="99" w:name="Table Classic 2"/>
    <w:lsdException w:qFormat="1" w:uiPriority="99" w:name="Table Classic 3"/>
    <w:lsdException w:qFormat="1" w:uiPriority="99" w:name="Table Classic 4"/>
    <w:lsdException w:qFormat="1" w:uiPriority="99" w:name="Table Colorful 1"/>
    <w:lsdException w:qFormat="1" w:uiPriority="99" w:name="Table Colorful 2"/>
    <w:lsdException w:qFormat="1" w:uiPriority="99" w:name="Table Colorful 3"/>
    <w:lsdException w:qFormat="1"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qFormat="1" w:uiPriority="99" w:name="Table Columns 5"/>
    <w:lsdException w:qFormat="1" w:uiPriority="99" w:name="Table Grid 1"/>
    <w:lsdException w:qFormat="1" w:uiPriority="99" w:name="Table Grid 2"/>
    <w:lsdException w:qFormat="1" w:uiPriority="99" w:name="Table Grid 3"/>
    <w:lsdException w:qFormat="1" w:uiPriority="99" w:name="Table Grid 4"/>
    <w:lsdException w:qFormat="1" w:uiPriority="99" w:name="Table Grid 5"/>
    <w:lsdException w:qFormat="1" w:uiPriority="99" w:name="Table Grid 6"/>
    <w:lsdException w:qFormat="1"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qFormat="1"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qFormat="1" w:uiPriority="99" w:name="Table 3D effects 1"/>
    <w:lsdException w:qFormat="1" w:uiPriority="99" w:name="Table 3D effects 2"/>
    <w:lsdException w:qFormat="1" w:uiPriority="99" w:name="Table 3D effects 3"/>
    <w:lsdException w:qFormat="1" w:uiPriority="99" w:name="Table Contemporary"/>
    <w:lsdException w:qFormat="1" w:uiPriority="99" w:name="Table Elegant"/>
    <w:lsdException w:qFormat="1"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qFormat="1" w:uiPriority="99" w:name="Balloon Text"/>
    <w:lsdException w:qFormat="1" w:unhideWhenUsed="0" w:uiPriority="59" w:semiHidden="0" w:name="Table Grid"/>
    <w:lsdException w:qFormat="1" w:uiPriority="99" w:name="Table Theme"/>
    <w:lsdException w:qFormat="1" w:unhideWhenUsed="0" w:uiPriority="99" w:name="Placeholder Text"/>
    <w:lsdException w:qFormat="1" w:unhideWhenUsed="0" w:uiPriority="1" w:name="No Spacing"/>
    <w:lsdException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unhideWhenUsed="0" w:uiPriority="67" w:semiHidden="0" w:name="Medium Grid 1 Accent 6"/>
    <w:lsdException w:qFormat="1"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1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2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3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0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qFormat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qFormat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qFormat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qFormat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qFormat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s-ES" w:eastAsia="en-US" w:bidi="ar-SA"/>
    </w:rPr>
  </w:style>
  <w:style w:type="paragraph" w:styleId="9">
    <w:name w:val="Body Text"/>
    <w:basedOn w:val="1"/>
    <w:link w:val="261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qFormat/>
    <w:uiPriority w:val="99"/>
    <w:pPr>
      <w:ind w:left="849" w:hanging="283"/>
      <w:contextualSpacing/>
    </w:pPr>
  </w:style>
  <w:style w:type="paragraph" w:styleId="14">
    <w:name w:val="toc 7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qFormat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qFormat/>
    <w:uiPriority w:val="99"/>
  </w:style>
  <w:style w:type="paragraph" w:styleId="18">
    <w:name w:val="List Bullet 4"/>
    <w:basedOn w:val="1"/>
    <w:qFormat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qFormat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qFormat/>
    <w:uiPriority w:val="99"/>
  </w:style>
  <w:style w:type="paragraph" w:styleId="21">
    <w:name w:val="List Number"/>
    <w:basedOn w:val="1"/>
    <w:semiHidden/>
    <w:unhideWhenUsed/>
    <w:qFormat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qFormat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qFormat/>
    <w:uiPriority w:val="99"/>
    <w:pPr>
      <w:ind w:left="900" w:hanging="180"/>
    </w:pPr>
  </w:style>
  <w:style w:type="paragraph" w:styleId="25">
    <w:name w:val="List Bullet"/>
    <w:basedOn w:val="1"/>
    <w:qFormat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qFormat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qFormat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qFormat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qFormat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qFormat/>
    <w:uiPriority w:val="99"/>
  </w:style>
  <w:style w:type="paragraph" w:styleId="32">
    <w:name w:val="Body Text 3"/>
    <w:basedOn w:val="1"/>
    <w:link w:val="263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qFormat/>
    <w:uiPriority w:val="99"/>
    <w:pPr>
      <w:ind w:left="4252"/>
    </w:pPr>
  </w:style>
  <w:style w:type="paragraph" w:styleId="34">
    <w:name w:val="List Bullet 3"/>
    <w:basedOn w:val="1"/>
    <w:qFormat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qFormat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qFormat/>
    <w:uiPriority w:val="49"/>
    <w:pPr>
      <w:contextualSpacing/>
    </w:pPr>
  </w:style>
  <w:style w:type="paragraph" w:styleId="37">
    <w:name w:val="List 2"/>
    <w:basedOn w:val="1"/>
    <w:semiHidden/>
    <w:unhideWhenUsed/>
    <w:qFormat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qFormat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qFormat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qFormat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qFormat/>
    <w:uiPriority w:val="99"/>
    <w:rPr>
      <w:i/>
      <w:iCs/>
    </w:rPr>
  </w:style>
  <w:style w:type="paragraph" w:styleId="42">
    <w:name w:val="index 4"/>
    <w:basedOn w:val="1"/>
    <w:next w:val="1"/>
    <w:semiHidden/>
    <w:unhideWhenUsed/>
    <w:qFormat/>
    <w:uiPriority w:val="99"/>
    <w:pPr>
      <w:ind w:left="720" w:hanging="180"/>
    </w:pPr>
  </w:style>
  <w:style w:type="paragraph" w:styleId="43">
    <w:name w:val="toc 5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qFormat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qFormat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qFormat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qFormat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qFormat/>
    <w:uiPriority w:val="99"/>
  </w:style>
  <w:style w:type="paragraph" w:styleId="51">
    <w:name w:val="Body Text Indent 2"/>
    <w:basedOn w:val="1"/>
    <w:link w:val="292"/>
    <w:semiHidden/>
    <w:unhideWhenUsed/>
    <w:qFormat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qFormat/>
    <w:uiPriority w:val="49"/>
    <w:rPr>
      <w:szCs w:val="20"/>
    </w:rPr>
  </w:style>
  <w:style w:type="paragraph" w:styleId="53">
    <w:name w:val="footnote text"/>
    <w:basedOn w:val="1"/>
    <w:link w:val="264"/>
    <w:qFormat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qFormat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58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qFormat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qFormat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qFormat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qFormat/>
    <w:uiPriority w:val="99"/>
    <w:pPr>
      <w:ind w:left="4252"/>
    </w:pPr>
  </w:style>
  <w:style w:type="paragraph" w:styleId="60">
    <w:name w:val="toc 1"/>
    <w:basedOn w:val="1"/>
    <w:next w:val="1"/>
    <w:qFormat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qFormat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qFormat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qFormat/>
    <w:uiPriority w:val="99"/>
    <w:pPr>
      <w:ind w:left="180" w:hanging="180"/>
    </w:pPr>
  </w:style>
  <w:style w:type="paragraph" w:styleId="65">
    <w:name w:val="Subtitle"/>
    <w:basedOn w:val="1"/>
    <w:next w:val="1"/>
    <w:link w:val="274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qFormat/>
    <w:uiPriority w:val="49"/>
    <w:pPr>
      <w:contextualSpacing/>
    </w:pPr>
  </w:style>
  <w:style w:type="paragraph" w:styleId="67">
    <w:name w:val="List"/>
    <w:basedOn w:val="1"/>
    <w:semiHidden/>
    <w:unhideWhenUsed/>
    <w:qFormat/>
    <w:uiPriority w:val="99"/>
    <w:pPr>
      <w:ind w:left="283" w:hanging="283"/>
      <w:contextualSpacing/>
    </w:pPr>
  </w:style>
  <w:style w:type="paragraph" w:styleId="68">
    <w:name w:val="toc 6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qFormat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qFormat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qFormat/>
    <w:uiPriority w:val="99"/>
    <w:pPr>
      <w:ind w:left="1620" w:hanging="180"/>
    </w:pPr>
  </w:style>
  <w:style w:type="paragraph" w:styleId="73">
    <w:name w:val="table of figures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2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qFormat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qFormat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qFormat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qFormat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qFormat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qFormat/>
    <w:uiPriority w:val="99"/>
    <w:pPr>
      <w:ind w:left="360" w:hanging="180"/>
    </w:pPr>
  </w:style>
  <w:style w:type="paragraph" w:styleId="84">
    <w:name w:val="Title"/>
    <w:basedOn w:val="1"/>
    <w:next w:val="1"/>
    <w:link w:val="27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qFormat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qFormat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qFormat/>
    <w:uiPriority w:val="99"/>
    <w:pPr>
      <w:spacing w:after="0"/>
      <w:ind w:left="360" w:firstLine="360"/>
    </w:pPr>
  </w:style>
  <w:style w:type="table" w:styleId="89">
    <w:name w:val="Table Grid"/>
    <w:basedOn w:val="88"/>
    <w:qFormat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qFormat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qFormat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qFormat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qFormat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qFormat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qFormat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qFormat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qFormat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qFormat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qFormat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qFormat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qFormat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qFormat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qFormat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qFormat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qFormat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qFormat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qFormat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s-ES"/>
    </w:rPr>
  </w:style>
  <w:style w:type="character" w:styleId="233">
    <w:name w:val="endnote reference"/>
    <w:qFormat/>
    <w:uiPriority w:val="49"/>
    <w:rPr>
      <w:vertAlign w:val="superscript"/>
      <w:lang w:val="es-ES"/>
    </w:rPr>
  </w:style>
  <w:style w:type="character" w:styleId="234">
    <w:name w:val="page number"/>
    <w:semiHidden/>
    <w:unhideWhenUsed/>
    <w:qFormat/>
    <w:uiPriority w:val="99"/>
    <w:rPr>
      <w:lang w:val="es-ES"/>
    </w:rPr>
  </w:style>
  <w:style w:type="character" w:styleId="235">
    <w:name w:val="FollowedHyperlink"/>
    <w:unhideWhenUsed/>
    <w:qFormat/>
    <w:uiPriority w:val="9"/>
    <w:rPr>
      <w:color w:val="800080"/>
      <w:u w:val="single"/>
      <w:lang w:val="es-ES"/>
    </w:rPr>
  </w:style>
  <w:style w:type="character" w:styleId="236">
    <w:name w:val="Emphasis"/>
    <w:semiHidden/>
    <w:qFormat/>
    <w:uiPriority w:val="99"/>
    <w:rPr>
      <w:i/>
      <w:iCs/>
      <w:lang w:val="es-ES"/>
    </w:rPr>
  </w:style>
  <w:style w:type="character" w:styleId="237">
    <w:name w:val="line number"/>
    <w:semiHidden/>
    <w:unhideWhenUsed/>
    <w:qFormat/>
    <w:uiPriority w:val="99"/>
    <w:rPr>
      <w:lang w:val="es-ES"/>
    </w:rPr>
  </w:style>
  <w:style w:type="character" w:styleId="238">
    <w:name w:val="HTML Definition"/>
    <w:semiHidden/>
    <w:unhideWhenUsed/>
    <w:qFormat/>
    <w:uiPriority w:val="99"/>
    <w:rPr>
      <w:i/>
      <w:iCs/>
      <w:lang w:val="es-ES"/>
    </w:rPr>
  </w:style>
  <w:style w:type="character" w:styleId="239">
    <w:name w:val="HTML Typewriter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0">
    <w:name w:val="HTML Acronym"/>
    <w:semiHidden/>
    <w:unhideWhenUsed/>
    <w:qFormat/>
    <w:uiPriority w:val="99"/>
    <w:rPr>
      <w:lang w:val="es-ES"/>
    </w:rPr>
  </w:style>
  <w:style w:type="character" w:styleId="241">
    <w:name w:val="HTML Variable"/>
    <w:semiHidden/>
    <w:unhideWhenUsed/>
    <w:qFormat/>
    <w:uiPriority w:val="99"/>
    <w:rPr>
      <w:i/>
      <w:iCs/>
      <w:lang w:val="es-ES"/>
    </w:rPr>
  </w:style>
  <w:style w:type="character" w:styleId="242">
    <w:name w:val="Hyperlink"/>
    <w:basedOn w:val="231"/>
    <w:unhideWhenUsed/>
    <w:qFormat/>
    <w:uiPriority w:val="9"/>
    <w:rPr>
      <w:color w:val="0000FF"/>
      <w:u w:val="single"/>
      <w:lang w:val="es-ES"/>
    </w:rPr>
  </w:style>
  <w:style w:type="character" w:styleId="243">
    <w:name w:val="HTML Code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4">
    <w:name w:val="annotation reference"/>
    <w:semiHidden/>
    <w:unhideWhenUsed/>
    <w:qFormat/>
    <w:uiPriority w:val="99"/>
    <w:rPr>
      <w:sz w:val="16"/>
      <w:szCs w:val="16"/>
      <w:lang w:val="es-ES"/>
    </w:rPr>
  </w:style>
  <w:style w:type="character" w:styleId="245">
    <w:name w:val="HTML Cite"/>
    <w:semiHidden/>
    <w:unhideWhenUsed/>
    <w:qFormat/>
    <w:uiPriority w:val="99"/>
    <w:rPr>
      <w:i/>
      <w:iCs/>
      <w:lang w:val="es-ES"/>
    </w:rPr>
  </w:style>
  <w:style w:type="character" w:styleId="246">
    <w:name w:val="footnote reference"/>
    <w:qFormat/>
    <w:uiPriority w:val="5"/>
    <w:rPr>
      <w:vertAlign w:val="superscript"/>
      <w:lang w:val="es-ES"/>
    </w:rPr>
  </w:style>
  <w:style w:type="character" w:styleId="247">
    <w:name w:val="HTML Keyboard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8">
    <w:name w:val="HTML Sample"/>
    <w:semiHidden/>
    <w:unhideWhenUsed/>
    <w:qFormat/>
    <w:uiPriority w:val="99"/>
    <w:rPr>
      <w:rFonts w:ascii="Consolas" w:hAnsi="Consolas" w:cs="Consolas"/>
      <w:sz w:val="24"/>
      <w:szCs w:val="24"/>
      <w:lang w:val="es-ES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s-ES"/>
    </w:rPr>
  </w:style>
  <w:style w:type="character" w:customStyle="1" w:styleId="250">
    <w:name w:val="Heading 5 Char"/>
    <w:link w:val="7"/>
    <w:qFormat/>
    <w:uiPriority w:val="2"/>
    <w:rPr>
      <w:rFonts w:ascii="Verdana" w:hAnsi="Verdana" w:eastAsia="Times New Roman"/>
      <w:b/>
      <w:color w:val="006283"/>
      <w:sz w:val="18"/>
      <w:szCs w:val="22"/>
      <w:lang w:val="es-ES"/>
    </w:rPr>
  </w:style>
  <w:style w:type="character" w:customStyle="1" w:styleId="251">
    <w:name w:val="Heading 2 Char"/>
    <w:link w:val="4"/>
    <w:qFormat/>
    <w:uiPriority w:val="2"/>
    <w:rPr>
      <w:rFonts w:ascii="Verdana" w:hAnsi="Verdana" w:eastAsia="Times New Roman"/>
      <w:b/>
      <w:bCs/>
      <w:color w:val="006283"/>
      <w:sz w:val="18"/>
      <w:szCs w:val="26"/>
      <w:lang w:val="es-ES"/>
    </w:rPr>
  </w:style>
  <w:style w:type="character" w:customStyle="1" w:styleId="252">
    <w:name w:val="Heading 3 Char"/>
    <w:link w:val="5"/>
    <w:qFormat/>
    <w:uiPriority w:val="2"/>
    <w:rPr>
      <w:rFonts w:ascii="Verdana" w:hAnsi="Verdana" w:eastAsia="Times New Roman"/>
      <w:b/>
      <w:bCs/>
      <w:color w:val="006283"/>
      <w:sz w:val="18"/>
      <w:szCs w:val="22"/>
      <w:lang w:val="es-ES"/>
    </w:rPr>
  </w:style>
  <w:style w:type="character" w:customStyle="1" w:styleId="253">
    <w:name w:val="Heading 4 Char"/>
    <w:link w:val="6"/>
    <w:qFormat/>
    <w:uiPriority w:val="2"/>
    <w:rPr>
      <w:rFonts w:ascii="Verdana" w:hAnsi="Verdana" w:eastAsia="Times New Roman"/>
      <w:b/>
      <w:bCs/>
      <w:iCs/>
      <w:color w:val="006283"/>
      <w:sz w:val="18"/>
      <w:szCs w:val="22"/>
      <w:lang w:val="es-ES"/>
    </w:rPr>
  </w:style>
  <w:style w:type="character" w:customStyle="1" w:styleId="254">
    <w:name w:val="Heading 6 Char"/>
    <w:link w:val="8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6">
    <w:name w:val="Heading 8 Char"/>
    <w:link w:val="11"/>
    <w:qFormat/>
    <w:uiPriority w:val="2"/>
    <w:rPr>
      <w:rFonts w:ascii="Verdana" w:hAnsi="Verdana" w:eastAsia="Times New Roman"/>
      <w:b/>
      <w:i/>
      <w:color w:val="006283"/>
      <w:sz w:val="18"/>
      <w:lang w:val="es-ES"/>
    </w:rPr>
  </w:style>
  <w:style w:type="character" w:customStyle="1" w:styleId="257">
    <w:name w:val="Heading 9 Char"/>
    <w:link w:val="12"/>
    <w:qFormat/>
    <w:uiPriority w:val="2"/>
    <w:rPr>
      <w:rFonts w:ascii="Verdana" w:hAnsi="Verdana" w:eastAsia="Times New Roman"/>
      <w:b/>
      <w:iCs/>
      <w:color w:val="006283"/>
      <w:sz w:val="18"/>
      <w:u w:val="single"/>
      <w:lang w:val="es-ES"/>
    </w:rPr>
  </w:style>
  <w:style w:type="character" w:customStyle="1" w:styleId="258">
    <w:name w:val="Balloon Text Char"/>
    <w:link w:val="55"/>
    <w:semiHidden/>
    <w:qFormat/>
    <w:uiPriority w:val="99"/>
    <w:rPr>
      <w:rFonts w:ascii="Tahoma" w:hAnsi="Tahoma" w:cs="Tahoma"/>
      <w:sz w:val="16"/>
      <w:szCs w:val="16"/>
      <w:lang w:val="es-ES"/>
    </w:rPr>
  </w:style>
  <w:style w:type="paragraph" w:customStyle="1" w:styleId="259">
    <w:name w:val="Answer"/>
    <w:basedOn w:val="1"/>
    <w:link w:val="260"/>
    <w:qFormat/>
    <w:uiPriority w:val="6"/>
    <w:pPr>
      <w:spacing w:after="240"/>
      <w:ind w:left="1077"/>
    </w:pPr>
  </w:style>
  <w:style w:type="character" w:customStyle="1" w:styleId="260">
    <w:name w:val="Answer Char"/>
    <w:link w:val="259"/>
    <w:qFormat/>
    <w:uiPriority w:val="6"/>
    <w:rPr>
      <w:rFonts w:ascii="Verdana" w:hAnsi="Verdana"/>
      <w:sz w:val="18"/>
      <w:szCs w:val="22"/>
      <w:lang w:val="es-ES"/>
    </w:rPr>
  </w:style>
  <w:style w:type="character" w:customStyle="1" w:styleId="261">
    <w:name w:val="Body Text Char"/>
    <w:link w:val="9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2">
    <w:name w:val="Body Text 2 Char"/>
    <w:link w:val="76"/>
    <w:qFormat/>
    <w:uiPriority w:val="1"/>
    <w:rPr>
      <w:rFonts w:ascii="Verdana" w:hAnsi="Verdana"/>
      <w:sz w:val="18"/>
      <w:szCs w:val="22"/>
      <w:lang w:val="es-ES"/>
    </w:rPr>
  </w:style>
  <w:style w:type="character" w:customStyle="1" w:styleId="263">
    <w:name w:val="Body Text 3 Char"/>
    <w:link w:val="32"/>
    <w:qFormat/>
    <w:uiPriority w:val="1"/>
    <w:rPr>
      <w:rFonts w:ascii="Verdana" w:hAnsi="Verdana"/>
      <w:sz w:val="18"/>
      <w:szCs w:val="16"/>
      <w:lang w:val="es-ES"/>
    </w:rPr>
  </w:style>
  <w:style w:type="character" w:customStyle="1" w:styleId="264">
    <w:name w:val="Footnote Text Char"/>
    <w:link w:val="53"/>
    <w:qFormat/>
    <w:uiPriority w:val="5"/>
    <w:rPr>
      <w:rFonts w:ascii="Verdana" w:hAnsi="Verdana"/>
      <w:sz w:val="16"/>
      <w:szCs w:val="18"/>
      <w:lang w:val="es-ES" w:eastAsia="en-GB"/>
    </w:rPr>
  </w:style>
  <w:style w:type="character" w:customStyle="1" w:styleId="265">
    <w:name w:val="Endnote Text Char"/>
    <w:link w:val="52"/>
    <w:qFormat/>
    <w:uiPriority w:val="49"/>
    <w:rPr>
      <w:rFonts w:ascii="Verdana" w:hAnsi="Verdana"/>
      <w:sz w:val="16"/>
      <w:lang w:val="es-ES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qFormat/>
    <w:uiPriority w:val="6"/>
    <w:rPr>
      <w:rFonts w:ascii="Verdana" w:hAnsi="Verdana"/>
      <w:i/>
      <w:sz w:val="18"/>
      <w:szCs w:val="22"/>
      <w:lang w:val="es-ES"/>
    </w:rPr>
  </w:style>
  <w:style w:type="character" w:customStyle="1" w:styleId="268">
    <w:name w:val="Footer Char"/>
    <w:link w:val="56"/>
    <w:qFormat/>
    <w:uiPriority w:val="3"/>
    <w:rPr>
      <w:rFonts w:ascii="Verdana" w:hAnsi="Verdana"/>
      <w:sz w:val="18"/>
      <w:szCs w:val="18"/>
      <w:lang w:val="es-ES" w:eastAsia="en-GB"/>
    </w:rPr>
  </w:style>
  <w:style w:type="paragraph" w:customStyle="1" w:styleId="269">
    <w:name w:val="Footnote Quotation"/>
    <w:basedOn w:val="53"/>
    <w:qFormat/>
    <w:uiPriority w:val="5"/>
    <w:pPr>
      <w:ind w:left="567" w:right="567" w:firstLine="0"/>
    </w:pPr>
  </w:style>
  <w:style w:type="character" w:customStyle="1" w:styleId="270">
    <w:name w:val="Header Char"/>
    <w:link w:val="58"/>
    <w:qFormat/>
    <w:uiPriority w:val="3"/>
    <w:rPr>
      <w:rFonts w:ascii="Verdana" w:hAnsi="Verdana"/>
      <w:sz w:val="18"/>
      <w:szCs w:val="18"/>
      <w:lang w:val="es-ES" w:eastAsia="en-GB"/>
    </w:rPr>
  </w:style>
  <w:style w:type="paragraph" w:styleId="271">
    <w:name w:val="List Paragraph"/>
    <w:basedOn w:val="1"/>
    <w:semiHidden/>
    <w:qFormat/>
    <w:uiPriority w:val="59"/>
    <w:pPr>
      <w:ind w:left="720"/>
      <w:contextualSpacing/>
    </w:pPr>
  </w:style>
  <w:style w:type="paragraph" w:customStyle="1" w:styleId="272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3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character" w:customStyle="1" w:styleId="274">
    <w:name w:val="Subtitle Char"/>
    <w:link w:val="65"/>
    <w:qFormat/>
    <w:uiPriority w:val="6"/>
    <w:rPr>
      <w:rFonts w:ascii="Verdana" w:hAnsi="Verdana" w:eastAsia="Times New Roman"/>
      <w:b/>
      <w:iCs/>
      <w:sz w:val="18"/>
      <w:szCs w:val="24"/>
      <w:lang w:val="es-ES"/>
    </w:rPr>
  </w:style>
  <w:style w:type="paragraph" w:customStyle="1" w:styleId="275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76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77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character" w:customStyle="1" w:styleId="278">
    <w:name w:val="Title Char"/>
    <w:link w:val="84"/>
    <w:qFormat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s-ES"/>
    </w:rPr>
  </w:style>
  <w:style w:type="paragraph" w:customStyle="1" w:styleId="279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80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81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82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83">
    <w:name w:val="WTOBox1"/>
    <w:basedOn w:val="88"/>
    <w:qFormat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4">
    <w:name w:val="WTOTable1"/>
    <w:basedOn w:val="88"/>
    <w:qFormat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table" w:customStyle="1" w:styleId="285">
    <w:name w:val="WTOTable2"/>
    <w:basedOn w:val="88"/>
    <w:qFormat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qFormat/>
    <w:uiPriority w:val="49"/>
  </w:style>
  <w:style w:type="character" w:customStyle="1" w:styleId="289">
    <w:name w:val="Body Text First Indent Char"/>
    <w:link w:val="86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0">
    <w:name w:val="Body Text Indent Char"/>
    <w:link w:val="35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1">
    <w:name w:val="Body Text First Indent 2 Char"/>
    <w:link w:val="87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2">
    <w:name w:val="Body Text Indent 2 Char"/>
    <w:link w:val="5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3">
    <w:name w:val="Body Text Indent 3 Char"/>
    <w:link w:val="70"/>
    <w:semiHidden/>
    <w:qFormat/>
    <w:uiPriority w:val="99"/>
    <w:rPr>
      <w:rFonts w:ascii="Verdana" w:hAnsi="Verdana"/>
      <w:sz w:val="16"/>
      <w:szCs w:val="16"/>
      <w:lang w:val="es-ES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s-ES"/>
    </w:rPr>
  </w:style>
  <w:style w:type="character" w:customStyle="1" w:styleId="295">
    <w:name w:val="Closing Char"/>
    <w:link w:val="33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6">
    <w:name w:val="Comment Text Char"/>
    <w:link w:val="29"/>
    <w:qFormat/>
    <w:uiPriority w:val="99"/>
    <w:rPr>
      <w:rFonts w:ascii="Verdana" w:hAnsi="Verdana"/>
      <w:lang w:val="es-ES"/>
    </w:rPr>
  </w:style>
  <w:style w:type="character" w:customStyle="1" w:styleId="297">
    <w:name w:val="Comment Subject Char"/>
    <w:link w:val="85"/>
    <w:qFormat/>
    <w:uiPriority w:val="99"/>
    <w:rPr>
      <w:rFonts w:ascii="Verdana" w:hAnsi="Verdana"/>
      <w:b/>
      <w:bCs/>
      <w:lang w:val="es-ES"/>
    </w:rPr>
  </w:style>
  <w:style w:type="character" w:customStyle="1" w:styleId="298">
    <w:name w:val="Date Char"/>
    <w:link w:val="5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9">
    <w:name w:val="Document Map Char"/>
    <w:link w:val="27"/>
    <w:semiHidden/>
    <w:qFormat/>
    <w:uiPriority w:val="99"/>
    <w:rPr>
      <w:rFonts w:ascii="Tahoma" w:hAnsi="Tahoma" w:cs="Tahoma"/>
      <w:sz w:val="16"/>
      <w:szCs w:val="16"/>
      <w:lang w:val="es-ES"/>
    </w:rPr>
  </w:style>
  <w:style w:type="character" w:customStyle="1" w:styleId="300">
    <w:name w:val="E-mail Signature Char"/>
    <w:link w:val="2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01">
    <w:name w:val="HTML Address Char"/>
    <w:link w:val="41"/>
    <w:semiHidden/>
    <w:qFormat/>
    <w:uiPriority w:val="99"/>
    <w:rPr>
      <w:rFonts w:ascii="Verdana" w:hAnsi="Verdana"/>
      <w:i/>
      <w:iCs/>
      <w:sz w:val="18"/>
      <w:szCs w:val="22"/>
      <w:lang w:val="es-ES"/>
    </w:rPr>
  </w:style>
  <w:style w:type="character" w:customStyle="1" w:styleId="302">
    <w:name w:val="HTML Preformatted Char"/>
    <w:link w:val="80"/>
    <w:semiHidden/>
    <w:qFormat/>
    <w:uiPriority w:val="99"/>
    <w:rPr>
      <w:rFonts w:ascii="Consolas" w:hAnsi="Consolas" w:cs="Consolas"/>
      <w:lang w:val="es-ES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s-ES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qFormat/>
    <w:uiPriority w:val="59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s-ES"/>
    </w:rPr>
  </w:style>
  <w:style w:type="character" w:customStyle="1" w:styleId="307">
    <w:name w:val="Macro Text Char"/>
    <w:link w:val="2"/>
    <w:semiHidden/>
    <w:qFormat/>
    <w:uiPriority w:val="99"/>
    <w:rPr>
      <w:rFonts w:ascii="Consolas" w:hAnsi="Consolas" w:cs="Consolas"/>
      <w:lang w:val="es-ES"/>
    </w:rPr>
  </w:style>
  <w:style w:type="character" w:customStyle="1" w:styleId="308">
    <w:name w:val="Message Header Char"/>
    <w:link w:val="79"/>
    <w:semiHidden/>
    <w:qFormat/>
    <w:uiPriority w:val="99"/>
    <w:rPr>
      <w:rFonts w:ascii="Cambria" w:hAnsi="Cambria" w:eastAsia="Times New Roman"/>
      <w:sz w:val="24"/>
      <w:szCs w:val="24"/>
      <w:shd w:val="pct20" w:color="auto" w:fill="auto"/>
      <w:lang w:val="es-ES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character" w:customStyle="1" w:styleId="310">
    <w:name w:val="Note Heading Char"/>
    <w:link w:val="17"/>
    <w:semiHidden/>
    <w:qFormat/>
    <w:uiPriority w:val="99"/>
    <w:rPr>
      <w:rFonts w:ascii="Verdana" w:hAnsi="Verdana"/>
      <w:sz w:val="18"/>
      <w:szCs w:val="22"/>
      <w:lang w:val="es-ES"/>
    </w:rPr>
  </w:style>
  <w:style w:type="character" w:styleId="311">
    <w:name w:val="Placeholder Text"/>
    <w:semiHidden/>
    <w:qFormat/>
    <w:uiPriority w:val="99"/>
    <w:rPr>
      <w:color w:val="808080"/>
      <w:lang w:val="es-ES"/>
    </w:rPr>
  </w:style>
  <w:style w:type="character" w:customStyle="1" w:styleId="312">
    <w:name w:val="Plain Text Char"/>
    <w:link w:val="45"/>
    <w:qFormat/>
    <w:uiPriority w:val="99"/>
    <w:rPr>
      <w:rFonts w:ascii="Consolas" w:hAnsi="Consolas" w:cs="Consolas"/>
      <w:sz w:val="21"/>
      <w:szCs w:val="21"/>
      <w:lang w:val="es-ES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qFormat/>
    <w:uiPriority w:val="59"/>
    <w:rPr>
      <w:rFonts w:ascii="Verdana" w:hAnsi="Verdana"/>
      <w:i/>
      <w:iCs/>
      <w:color w:val="000000"/>
      <w:sz w:val="18"/>
      <w:szCs w:val="22"/>
      <w:lang w:val="es-ES"/>
    </w:rPr>
  </w:style>
  <w:style w:type="character" w:customStyle="1" w:styleId="315">
    <w:name w:val="Salutation Char"/>
    <w:link w:val="3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6">
    <w:name w:val="Signature Char"/>
    <w:link w:val="59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s-ES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s-ES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itus xmlns="http://schemas.titus.com/TitusProperties/">
  <TitusGUID xmlns="">f7bacae2-dd7c-44b8-815b-5b629b99031c</TitusGUID>
  <TitusMetadata xmlns="">eyJucyI6Imh0dHA6XC9cL3d3dy50aXR1cy5jb21cL25zXC9Xb3JsZCBUcmFkZSBPcmdhbml6YXRpb24iLCJwcm9wcyI6W3sibiI6IldUT0NMQVNTSUZJQ0FUSU9OIiwidmFscyI6W3sidmFsdWUiOiJXVE8gT0ZGSUNJQUwifV19XX0=</TitusMetadata>
</titus>
</file>

<file path=customXml/itemProps1.xml><?xml version="1.0" encoding="utf-8"?>
<ds:datastoreItem xmlns:ds="http://schemas.openxmlformats.org/officeDocument/2006/customXml" ds:itemID="{06C9BC7B-C144-4490-AB7D-119CC54B489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782</Words>
  <Characters>4636</Characters>
  <Lines>60</Lines>
  <Paragraphs>34</Paragraphs>
  <TotalTime>0</TotalTime>
  <ScaleCrop>false</ScaleCrop>
  <LinksUpToDate>false</LinksUpToDate>
  <CharactersWithSpaces>5365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2025-06-17T12:22:00Z</dcterms:created>
  <dc:description>LDIMD - DTU</dc:description>
  <dcterms:modified xsi:type="dcterms:W3CDTF">2025-07-24T15:39:41Z</dcterms:modified>
  <dc:title>NOTIFICACIÓN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WTO OFFICIAL</vt:lpwstr>
  </property>
  <property fmtid="{D5CDD505-2E9C-101B-9397-08002B2CF9AE}" pid="5" name="KSOTemplateDocerSaveRecord">
    <vt:lpwstr>eyJoZGlkIjoiNDI1NGQ4MDY4NjMxYWVlMzc3ODM2NDE0MmU1ODUxYzYiLCJ1c2VySWQiOiI2NjE4MzI4NTIifQ==</vt:lpwstr>
  </property>
  <property fmtid="{D5CDD505-2E9C-101B-9397-08002B2CF9AE}" pid="6" name="KSOProductBuildVer">
    <vt:lpwstr>2052-12.1.0.21915</vt:lpwstr>
  </property>
  <property fmtid="{D5CDD505-2E9C-101B-9397-08002B2CF9AE}" pid="7" name="ICV">
    <vt:lpwstr>F22158BC5204467F99EF5020F4F8F8C4_12</vt:lpwstr>
  </property>
</Properties>
</file>