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4BC5225" w14:textId="77777777">
      <w:pPr>
        <w:pStyle w:val="Title"/>
      </w:pPr>
      <w:r w:rsidRPr="002F663C">
        <w:t>NOTIFICATION</w:t>
      </w:r>
    </w:p>
    <w:p w:rsidR="002F663C" w:rsidRPr="002F663C" w:rsidP="00DD3DD7" w14:paraId="27A82F35" w14:textId="77777777">
      <w:pPr>
        <w:pStyle w:val="Title3"/>
      </w:pPr>
      <w:r w:rsidRPr="002F663C">
        <w:t>Addendum</w:t>
      </w:r>
    </w:p>
    <w:p w:rsidR="002F663C" w:rsidP="001E2E4A" w14:paraId="7A27CEF4"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22 July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643B6A83" w14:textId="77777777">
      <w:pPr>
        <w:rPr>
          <w:rFonts w:eastAsia="Calibri" w:cs="Times New Roman"/>
        </w:rPr>
      </w:pPr>
    </w:p>
    <w:p w:rsidR="002F663C" w:rsidRPr="002F663C" w:rsidP="002F663C" w14:paraId="567217CD" w14:textId="77777777">
      <w:pPr>
        <w:jc w:val="center"/>
        <w:rPr>
          <w:rFonts w:eastAsia="Calibri" w:cs="Times New Roman"/>
          <w:b/>
        </w:rPr>
      </w:pPr>
      <w:r w:rsidRPr="002F663C">
        <w:rPr>
          <w:rFonts w:eastAsia="Calibri" w:cs="Times New Roman"/>
          <w:b/>
        </w:rPr>
        <w:t>_______________</w:t>
      </w:r>
    </w:p>
    <w:p w:rsidR="002F663C" w:rsidP="002F663C" w14:paraId="7208091B" w14:textId="77777777">
      <w:pPr>
        <w:rPr>
          <w:rFonts w:eastAsia="Calibri" w:cs="Times New Roman"/>
        </w:rPr>
      </w:pPr>
    </w:p>
    <w:p w:rsidR="00C14444" w:rsidRPr="002F663C" w:rsidP="002F663C" w14:paraId="395257C1" w14:textId="77777777">
      <w:pPr>
        <w:rPr>
          <w:rFonts w:eastAsia="Calibri" w:cs="Times New Roman"/>
        </w:rPr>
      </w:pPr>
    </w:p>
    <w:p w:rsidR="002F663C" w:rsidRPr="002F663C" w:rsidP="002F663C" w14:paraId="26FD6633"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 xml:space="preserve">Regulation of the Chairman of NADFC RI No 1 Year 2015 concerning Food Category </w:t>
      </w:r>
    </w:p>
    <w:p w:rsidR="002F663C" w:rsidRPr="002F663C" w:rsidP="002F663C" w14:paraId="62467942"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CD8AE8F"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44A6C4CC"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FC84AE3" w14:textId="77777777" w:rsidTr="00E9471B">
        <w:tblPrEx>
          <w:tblW w:w="9049" w:type="dxa"/>
          <w:tblLayout w:type="fixed"/>
          <w:tblLook w:val="04A0"/>
        </w:tblPrEx>
        <w:tc>
          <w:tcPr>
            <w:tcW w:w="851" w:type="dxa"/>
            <w:shd w:val="clear" w:color="auto" w:fill="auto"/>
          </w:tcPr>
          <w:p w:rsidR="002F663C" w:rsidRPr="00711F9C" w:rsidP="00C14444" w14:paraId="2FAD85B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2EF0325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CFD7519" w14:textId="77777777" w:rsidTr="00E9471B">
        <w:tblPrEx>
          <w:tblW w:w="9049" w:type="dxa"/>
          <w:tblLayout w:type="fixed"/>
          <w:tblLook w:val="04A0"/>
        </w:tblPrEx>
        <w:tc>
          <w:tcPr>
            <w:tcW w:w="851" w:type="dxa"/>
            <w:shd w:val="clear" w:color="auto" w:fill="auto"/>
          </w:tcPr>
          <w:p w:rsidR="002F663C" w:rsidRPr="00711F9C" w:rsidP="00C14444" w14:paraId="51EDB60A"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276D73B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3FA7709" w14:textId="77777777" w:rsidTr="00E9471B">
        <w:tblPrEx>
          <w:tblW w:w="9049" w:type="dxa"/>
          <w:tblLayout w:type="fixed"/>
          <w:tblLook w:val="04A0"/>
        </w:tblPrEx>
        <w:tc>
          <w:tcPr>
            <w:tcW w:w="851" w:type="dxa"/>
            <w:shd w:val="clear" w:color="auto" w:fill="auto"/>
          </w:tcPr>
          <w:p w:rsidR="002F663C" w:rsidRPr="00711F9C" w:rsidP="00C14444" w14:paraId="12820159"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207A6ED4"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 February 2025</w:t>
            </w:r>
          </w:p>
        </w:tc>
      </w:tr>
      <w:tr w14:paraId="52398B2D" w14:textId="77777777" w:rsidTr="00E9471B">
        <w:tblPrEx>
          <w:tblW w:w="9049" w:type="dxa"/>
          <w:tblLayout w:type="fixed"/>
          <w:tblLook w:val="04A0"/>
        </w:tblPrEx>
        <w:tc>
          <w:tcPr>
            <w:tcW w:w="851" w:type="dxa"/>
            <w:shd w:val="clear" w:color="auto" w:fill="auto"/>
          </w:tcPr>
          <w:p w:rsidR="002F663C" w:rsidRPr="00711F9C" w:rsidP="00C14444" w14:paraId="0AB55AB5"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6A657B56"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3 February 2025</w:t>
            </w:r>
          </w:p>
        </w:tc>
      </w:tr>
      <w:tr w14:paraId="50F0E69E" w14:textId="77777777" w:rsidTr="00E9471B">
        <w:tblPrEx>
          <w:tblW w:w="9049" w:type="dxa"/>
          <w:tblLayout w:type="fixed"/>
          <w:tblLook w:val="04A0"/>
        </w:tblPrEx>
        <w:tc>
          <w:tcPr>
            <w:tcW w:w="851" w:type="dxa"/>
            <w:shd w:val="clear" w:color="auto" w:fill="auto"/>
          </w:tcPr>
          <w:p w:rsidR="002F663C" w:rsidRPr="00711F9C" w:rsidP="00C14444" w14:paraId="049D1DA2"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1A8692FD"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37C1C429" w14:textId="77777777">
            <w:pPr>
              <w:spacing w:before="120" w:after="120"/>
              <w:rPr>
                <w:rFonts w:eastAsia="Calibri" w:cs="Times New Roman"/>
              </w:rPr>
            </w:pPr>
            <w:hyperlink r:id="rId6" w:tgtFrame="_blank" w:history="1">
              <w:r w:rsidRPr="002F663C">
                <w:rPr>
                  <w:rFonts w:eastAsia="Calibri" w:cs="Times New Roman"/>
                  <w:color w:val="0000FF"/>
                  <w:u w:val="single"/>
                </w:rPr>
                <w:t>https://jdih.pom.go.id/download/rule/1639/70/2025/Keputusan%20Kepala%20Badan%20Pengawas%20Obat%20dan%20Makanan%20Nomor%2070%20Tahun%202025%20tentang%20Perubahan%20Kategori%20Pangan%20dan%20Perubahan%20Bahan%20Baku%20Yang%20Berasal%20Dari%20Tanaman%20atau%20Hewan</w:t>
              </w:r>
            </w:hyperlink>
          </w:p>
          <w:p w:rsidR="002F663C" w:rsidRPr="002F663C" w:rsidP="00EB7B40" w14:paraId="1F8F20FA"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https://members.wto.org/crnattachments/2025/TBT/IDN/final_measure/25_04751_00_x.pdf</w:t>
              </w:r>
            </w:hyperlink>
          </w:p>
        </w:tc>
      </w:tr>
      <w:tr w14:paraId="6F4C0C39" w14:textId="77777777" w:rsidTr="00E9471B">
        <w:tblPrEx>
          <w:tblW w:w="9049" w:type="dxa"/>
          <w:tblLayout w:type="fixed"/>
          <w:tblLook w:val="04A0"/>
        </w:tblPrEx>
        <w:tc>
          <w:tcPr>
            <w:tcW w:w="851" w:type="dxa"/>
            <w:shd w:val="clear" w:color="auto" w:fill="auto"/>
          </w:tcPr>
          <w:p w:rsidR="002F663C" w:rsidRPr="00711F9C" w:rsidP="00C14444" w14:paraId="44CC2665"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66E9D93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43EFBB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1C16DCE" w14:textId="77777777" w:rsidTr="00E9471B">
        <w:tblPrEx>
          <w:tblW w:w="9049" w:type="dxa"/>
          <w:tblLayout w:type="fixed"/>
          <w:tblLook w:val="04A0"/>
        </w:tblPrEx>
        <w:tc>
          <w:tcPr>
            <w:tcW w:w="851" w:type="dxa"/>
            <w:shd w:val="clear" w:color="auto" w:fill="auto"/>
          </w:tcPr>
          <w:p w:rsidR="002F663C" w:rsidRPr="00711F9C" w:rsidP="00C14444" w14:paraId="537DD7FF"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1DD4440E"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3438E92" w14:textId="77777777">
            <w:pPr>
              <w:spacing w:before="60" w:after="60"/>
              <w:rPr>
                <w:rFonts w:eastAsia="Calibri" w:cs="Times New Roman"/>
              </w:rPr>
            </w:pPr>
            <w:r w:rsidRPr="00F77BEC">
              <w:rPr>
                <w:rFonts w:eastAsia="Calibri" w:cs="Times New Roman"/>
              </w:rPr>
              <w:t>N</w:t>
            </w:r>
            <w:r w:rsidRPr="002F663C">
              <w:rPr>
                <w:rFonts w:eastAsia="Calibri" w:cs="Times New Roman"/>
              </w:rPr>
              <w:t xml:space="preserve">ew deadline for comments (if </w:t>
            </w:r>
            <w:r w:rsidRPr="002F663C">
              <w:rPr>
                <w:rFonts w:eastAsia="Calibri" w:cs="Times New Roman"/>
              </w:rPr>
              <w:t>applicable):</w:t>
            </w:r>
            <w:r w:rsidR="00467A46">
              <w:rPr>
                <w:rFonts w:eastAsia="Calibri" w:cs="Times New Roman"/>
              </w:rPr>
              <w:t xml:space="preserve"> </w:t>
            </w:r>
          </w:p>
        </w:tc>
      </w:tr>
      <w:tr w14:paraId="02EE073C" w14:textId="77777777" w:rsidTr="00E9471B">
        <w:tblPrEx>
          <w:tblW w:w="9049" w:type="dxa"/>
          <w:tblLayout w:type="fixed"/>
          <w:tblLook w:val="04A0"/>
        </w:tblPrEx>
        <w:tc>
          <w:tcPr>
            <w:tcW w:w="851" w:type="dxa"/>
            <w:shd w:val="clear" w:color="auto" w:fill="auto"/>
          </w:tcPr>
          <w:p w:rsidR="002F663C" w:rsidRPr="00711F9C" w:rsidP="00C14444" w14:paraId="749E279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7260B43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E16BC15"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0098424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6C3310C1"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93A6817" w14:textId="77777777">
      <w:pPr>
        <w:jc w:val="left"/>
        <w:rPr>
          <w:rFonts w:eastAsia="Calibri" w:cs="Times New Roman"/>
          <w:highlight w:val="yellow"/>
        </w:rPr>
      </w:pPr>
    </w:p>
    <w:p w:rsidR="003971FF" w:rsidRPr="007F6EA2" w:rsidP="00B16ACF" w14:paraId="60B81AF0"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Due to developments in food science and technology, Indonesian Food and Drug Authority of The Republic of Indonesia has enacted the Decree of the Chairperson of the Indonesian Food and Drug Authority Number 70 Year 2025 concerning Amendment to Food Categories and the Amendment to Raw Materials Derived from Plants or Animals. </w:t>
      </w:r>
    </w:p>
    <w:p w:rsidR="00705D61" w:rsidRPr="002F663C" w:rsidP="00B16ACF" w14:paraId="11EE4833" w14:textId="77777777">
      <w:pPr>
        <w:spacing w:before="120" w:after="120"/>
        <w:rPr>
          <w:rFonts w:eastAsia="Calibri" w:cs="Times New Roman"/>
          <w:szCs w:val="18"/>
        </w:rPr>
      </w:pPr>
      <w:r w:rsidRPr="002F663C">
        <w:rPr>
          <w:rFonts w:eastAsia="Calibri" w:cs="Times New Roman"/>
          <w:szCs w:val="18"/>
        </w:rPr>
        <w:t>This decree revises certain food categories and raw materials derived from plants or animal that are regulated under the provisions of the regulations of the Indonesian Food and Drug Authority Number 13 Year 2023. Some of the new provisions amended in this decree include:</w:t>
      </w:r>
    </w:p>
    <w:p w:rsidR="00705D61" w:rsidRPr="002F663C" w:rsidP="00B16ACF" w14:paraId="7D548C4A" w14:textId="77777777">
      <w:pPr>
        <w:numPr>
          <w:ilvl w:val="0"/>
          <w:numId w:val="17"/>
        </w:numPr>
        <w:spacing w:before="120" w:after="120"/>
        <w:rPr>
          <w:rFonts w:eastAsia="Calibri" w:cs="Times New Roman"/>
          <w:szCs w:val="18"/>
        </w:rPr>
      </w:pPr>
      <w:r w:rsidRPr="002F663C">
        <w:rPr>
          <w:rFonts w:eastAsia="Calibri" w:cs="Times New Roman"/>
          <w:szCs w:val="18"/>
        </w:rPr>
        <w:t>Food categorization</w:t>
      </w:r>
    </w:p>
    <w:p w:rsidR="00705D61" w:rsidRPr="002F663C" w:rsidP="00B16ACF" w14:paraId="2F96E2D4" w14:textId="77777777">
      <w:pPr>
        <w:numPr>
          <w:ilvl w:val="1"/>
          <w:numId w:val="17"/>
        </w:numPr>
        <w:spacing w:before="120" w:after="120"/>
        <w:rPr>
          <w:rFonts w:eastAsia="Calibri" w:cs="Times New Roman"/>
          <w:szCs w:val="18"/>
        </w:rPr>
      </w:pPr>
      <w:r w:rsidRPr="002F663C">
        <w:rPr>
          <w:rFonts w:eastAsia="Calibri" w:cs="Times New Roman"/>
          <w:szCs w:val="18"/>
        </w:rPr>
        <w:t>The addition of food items within the food categories; and</w:t>
      </w:r>
    </w:p>
    <w:p w:rsidR="00705D61" w:rsidRPr="002F663C" w:rsidP="00B16ACF" w14:paraId="4A88A0E1" w14:textId="77777777">
      <w:pPr>
        <w:numPr>
          <w:ilvl w:val="1"/>
          <w:numId w:val="17"/>
        </w:numPr>
        <w:spacing w:before="120" w:after="120"/>
        <w:rPr>
          <w:rFonts w:eastAsia="Calibri" w:cs="Times New Roman"/>
          <w:szCs w:val="18"/>
        </w:rPr>
      </w:pPr>
      <w:r w:rsidRPr="002F663C">
        <w:rPr>
          <w:rFonts w:eastAsia="Calibri" w:cs="Times New Roman"/>
          <w:szCs w:val="18"/>
        </w:rPr>
        <w:t>Amendments to the description, definition, and/or fundamental characteristics of food items within food categories.</w:t>
      </w:r>
    </w:p>
    <w:p w:rsidR="00705D61" w:rsidRPr="002F663C" w:rsidP="00B16ACF" w14:paraId="7690A49D" w14:textId="77777777">
      <w:pPr>
        <w:numPr>
          <w:ilvl w:val="0"/>
          <w:numId w:val="17"/>
        </w:numPr>
        <w:spacing w:before="120" w:after="120"/>
        <w:rPr>
          <w:rFonts w:eastAsia="Calibri" w:cs="Times New Roman"/>
          <w:szCs w:val="18"/>
        </w:rPr>
      </w:pPr>
      <w:r w:rsidRPr="002F663C">
        <w:rPr>
          <w:rFonts w:eastAsia="Calibri" w:cs="Times New Roman"/>
          <w:szCs w:val="18"/>
        </w:rPr>
        <w:t>The addition of use of food raw materials derived from plants or animals.</w:t>
      </w:r>
    </w:p>
    <w:p w:rsidR="00705D61" w:rsidRPr="002F663C" w:rsidP="00B16ACF" w14:paraId="260802D0" w14:textId="77777777">
      <w:pPr>
        <w:spacing w:before="120" w:after="120"/>
        <w:rPr>
          <w:rFonts w:eastAsia="Calibri" w:cs="Times New Roman"/>
          <w:szCs w:val="18"/>
        </w:rPr>
      </w:pPr>
      <w:r w:rsidRPr="002F663C">
        <w:rPr>
          <w:rFonts w:eastAsia="Calibri" w:cs="Times New Roman"/>
          <w:szCs w:val="18"/>
        </w:rPr>
        <w:t>Processed food that has been distributed before the enactment of this decree shall conform to the provisions of the decree not later than 30 months after this decree is enacted.</w:t>
      </w:r>
    </w:p>
    <w:p w:rsidR="00705D61" w:rsidRPr="002F663C" w:rsidP="00B16ACF" w14:paraId="1C60AF12" w14:textId="77777777">
      <w:pPr>
        <w:spacing w:before="120" w:after="120"/>
        <w:rPr>
          <w:rFonts w:eastAsia="Calibri" w:cs="Times New Roman"/>
          <w:szCs w:val="18"/>
        </w:rPr>
      </w:pPr>
      <w:r w:rsidRPr="002F663C">
        <w:rPr>
          <w:rFonts w:eastAsia="Calibri" w:cs="Times New Roman"/>
          <w:szCs w:val="18"/>
        </w:rPr>
        <w:t>Processed food that are currently in process of registration shall conform to the provision of the regulations of the Indonesian Food and Drug Authority Number 13 Year 2023 on Food Category that form the basis of their application, and shall conform to the provisions of the decree not later than 30 months after this decree is enacted.</w:t>
      </w:r>
    </w:p>
    <w:p w:rsidR="00705D61" w:rsidRPr="002F663C" w:rsidP="00B16ACF" w14:paraId="44290048" w14:textId="77777777">
      <w:pPr>
        <w:spacing w:before="120" w:after="120"/>
        <w:rPr>
          <w:rFonts w:eastAsia="Calibri" w:cs="Times New Roman"/>
          <w:szCs w:val="18"/>
        </w:rPr>
      </w:pPr>
      <w:r w:rsidRPr="002F663C">
        <w:rPr>
          <w:rFonts w:eastAsia="Calibri" w:cs="Times New Roman"/>
          <w:szCs w:val="18"/>
        </w:rPr>
        <w:t>This degree applies from the date of its enactment</w:t>
      </w:r>
    </w:p>
    <w:p w:rsidR="006C5A96" w:rsidP="006C5A96" w14:paraId="73FCB394" w14:textId="77777777">
      <w:pPr>
        <w:jc w:val="center"/>
        <w:rPr>
          <w:b/>
        </w:rPr>
      </w:pPr>
      <w:r w:rsidRPr="003971FF">
        <w:rPr>
          <w:b/>
        </w:rPr>
        <w:t>__________</w:t>
      </w:r>
    </w:p>
    <w:p w:rsidR="004D4D19" w:rsidP="007F38C2" w14:paraId="40822469" w14:textId="77777777">
      <w:pPr>
        <w:jc w:val="center"/>
        <w:rPr>
          <w:b/>
        </w:rPr>
      </w:pPr>
    </w:p>
    <w:p w:rsidR="00A1565D" w:rsidP="003971FF" w14:paraId="5BBB9C7F"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5898BAF"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62F60B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E2D9B6B" w14:textId="77777777">
      <w:r>
        <w:separator/>
      </w:r>
    </w:p>
  </w:footnote>
  <w:footnote w:type="continuationSeparator" w:id="1">
    <w:p w:rsidR="004D3A6A" w:rsidP="00ED54E0" w14:paraId="3A570B03" w14:textId="77777777">
      <w:r>
        <w:continuationSeparator/>
      </w:r>
    </w:p>
  </w:footnote>
  <w:footnote w:id="2">
    <w:p w:rsidR="007F6EA2" w14:paraId="717B2DA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07BA23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420BEB68" w14:textId="77777777">
    <w:pPr>
      <w:pStyle w:val="Header"/>
      <w:pBdr>
        <w:bottom w:val="single" w:sz="4" w:space="1" w:color="auto"/>
      </w:pBdr>
      <w:tabs>
        <w:tab w:val="clear" w:pos="4513"/>
        <w:tab w:val="clear" w:pos="9027"/>
      </w:tabs>
      <w:jc w:val="center"/>
    </w:pPr>
  </w:p>
  <w:p w:rsidR="00DD3DD7" w:rsidRPr="00DD3DD7" w:rsidP="00DD3DD7" w14:paraId="5E52C82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8D6468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4A18B46" w14:textId="77777777">
    <w:pPr>
      <w:pStyle w:val="Header"/>
      <w:pBdr>
        <w:bottom w:val="single" w:sz="4" w:space="1" w:color="auto"/>
      </w:pBdr>
      <w:tabs>
        <w:tab w:val="clear" w:pos="4513"/>
        <w:tab w:val="clear" w:pos="9027"/>
      </w:tabs>
      <w:jc w:val="center"/>
    </w:pPr>
    <w:bookmarkStart w:id="3" w:name="spsSymbolHeader"/>
    <w:r w:rsidRPr="00DD3DD7">
      <w:t>G/TBT/N/IDN/101/Add.5</w:t>
    </w:r>
    <w:bookmarkEnd w:id="3"/>
  </w:p>
  <w:p w:rsidR="00DD3DD7" w:rsidRPr="00DD3DD7" w:rsidP="00DD3DD7" w14:paraId="44689DC6" w14:textId="77777777">
    <w:pPr>
      <w:pStyle w:val="Header"/>
      <w:pBdr>
        <w:bottom w:val="single" w:sz="4" w:space="1" w:color="auto"/>
      </w:pBdr>
      <w:tabs>
        <w:tab w:val="clear" w:pos="4513"/>
        <w:tab w:val="clear" w:pos="9027"/>
      </w:tabs>
      <w:jc w:val="center"/>
    </w:pPr>
  </w:p>
  <w:p w:rsidR="00DD3DD7" w:rsidRPr="00DD3DD7" w:rsidP="00DD3DD7" w14:paraId="7C79883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5D6CD87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0D7F22C"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88A2D2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7F36E35" w14:textId="77777777">
          <w:pPr>
            <w:jc w:val="right"/>
            <w:rPr>
              <w:b/>
              <w:color w:val="FF0000"/>
              <w:szCs w:val="16"/>
            </w:rPr>
          </w:pPr>
          <w:r>
            <w:rPr>
              <w:b/>
              <w:color w:val="FF0000"/>
              <w:szCs w:val="16"/>
            </w:rPr>
            <w:t xml:space="preserve"> </w:t>
          </w:r>
        </w:p>
      </w:tc>
    </w:tr>
    <w:tr w14:paraId="0CD4C9AA"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77252D6"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7E08ED8" w14:textId="77777777">
          <w:pPr>
            <w:jc w:val="right"/>
            <w:rPr>
              <w:b/>
              <w:szCs w:val="16"/>
            </w:rPr>
          </w:pPr>
        </w:p>
      </w:tc>
    </w:tr>
    <w:tr w14:paraId="777E5D50"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A494663"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81E36AE" w14:textId="77777777">
          <w:pPr>
            <w:jc w:val="right"/>
            <w:rPr>
              <w:rFonts w:eastAsia="Calibri" w:cs="Times New Roman"/>
              <w:b/>
              <w:szCs w:val="16"/>
            </w:rPr>
          </w:pPr>
          <w:bookmarkStart w:id="4" w:name="bmkSymbols"/>
          <w:r w:rsidRPr="002F663C">
            <w:rPr>
              <w:rFonts w:eastAsia="Calibri" w:cs="Times New Roman"/>
              <w:b/>
              <w:szCs w:val="16"/>
            </w:rPr>
            <w:t>G/TBT/N/IDN/101/Add.5</w:t>
          </w:r>
          <w:bookmarkEnd w:id="4"/>
        </w:p>
        <w:p w:rsidR="00C14444" w:rsidRPr="00C14444" w:rsidP="00C14444" w14:paraId="4A248E92" w14:textId="77777777">
          <w:pPr>
            <w:jc w:val="center"/>
            <w:rPr>
              <w:szCs w:val="16"/>
            </w:rPr>
          </w:pPr>
        </w:p>
      </w:tc>
    </w:tr>
    <w:tr w14:paraId="33C399A8"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5CEC3F1" w14:textId="77777777"/>
      </w:tc>
      <w:tc>
        <w:tcPr>
          <w:tcW w:w="5448" w:type="dxa"/>
          <w:gridSpan w:val="2"/>
          <w:shd w:val="clear" w:color="auto" w:fill="FFFFFF"/>
          <w:tcMar>
            <w:left w:w="108" w:type="dxa"/>
            <w:right w:w="108" w:type="dxa"/>
          </w:tcMar>
          <w:vAlign w:val="center"/>
        </w:tcPr>
        <w:p w:rsidR="00ED54E0" w:rsidRPr="00182B84" w:rsidP="00425DC5" w14:paraId="283FD463" w14:textId="77777777">
          <w:pPr>
            <w:jc w:val="right"/>
            <w:rPr>
              <w:szCs w:val="16"/>
            </w:rPr>
          </w:pPr>
          <w:bookmarkStart w:id="5" w:name="bmkDate"/>
          <w:r w:rsidRPr="00182B84">
            <w:rPr>
              <w:szCs w:val="16"/>
            </w:rPr>
            <w:t>23 July 2025</w:t>
          </w:r>
          <w:bookmarkEnd w:id="5"/>
        </w:p>
      </w:tc>
    </w:tr>
    <w:tr w14:paraId="193957DC"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1EA84A4" w14:textId="77777777">
          <w:pPr>
            <w:jc w:val="left"/>
            <w:rPr>
              <w:b/>
            </w:rPr>
          </w:pPr>
          <w:bookmarkStart w:id="6" w:name="bmkSerial"/>
          <w:r>
            <w:rPr>
              <w:b w:val="0"/>
              <w:color w:val="FF0000"/>
            </w:rPr>
            <w:t>(25-4704)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CEF73C6"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2C30176"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7EC6019"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22F7C5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E1BC1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23851711">
    <w:abstractNumId w:val="9"/>
  </w:num>
  <w:num w:numId="2" w16cid:durableId="1265066702">
    <w:abstractNumId w:val="7"/>
  </w:num>
  <w:num w:numId="3" w16cid:durableId="743454561">
    <w:abstractNumId w:val="6"/>
  </w:num>
  <w:num w:numId="4" w16cid:durableId="1800566093">
    <w:abstractNumId w:val="5"/>
  </w:num>
  <w:num w:numId="5" w16cid:durableId="1969236334">
    <w:abstractNumId w:val="4"/>
  </w:num>
  <w:num w:numId="6" w16cid:durableId="467941590">
    <w:abstractNumId w:val="12"/>
  </w:num>
  <w:num w:numId="7" w16cid:durableId="1714689330">
    <w:abstractNumId w:val="11"/>
  </w:num>
  <w:num w:numId="8" w16cid:durableId="928585735">
    <w:abstractNumId w:val="10"/>
  </w:num>
  <w:num w:numId="9" w16cid:durableId="5838786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7665453">
    <w:abstractNumId w:val="13"/>
  </w:num>
  <w:num w:numId="11" w16cid:durableId="1688482907">
    <w:abstractNumId w:val="8"/>
  </w:num>
  <w:num w:numId="12" w16cid:durableId="1388456618">
    <w:abstractNumId w:val="3"/>
  </w:num>
  <w:num w:numId="13" w16cid:durableId="1079988293">
    <w:abstractNumId w:val="2"/>
  </w:num>
  <w:num w:numId="14" w16cid:durableId="319431908">
    <w:abstractNumId w:val="1"/>
  </w:num>
  <w:num w:numId="15" w16cid:durableId="1154953575">
    <w:abstractNumId w:val="0"/>
  </w:num>
  <w:num w:numId="16" w16cid:durableId="136598295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9407216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A5B74"/>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05D61"/>
    <w:rsid w:val="00711F9C"/>
    <w:rsid w:val="007141CF"/>
    <w:rsid w:val="0071546B"/>
    <w:rsid w:val="00724E52"/>
    <w:rsid w:val="00744A73"/>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DBEB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jdih.pom.go.id/download/rule/1639/70/2025/Keputusan%20Kepala%20Badan%20Pengawas%20Obat%20dan%20Makanan%20Nomor%2070%20Tahun%202025%20tentang%20Perubahan%20Kategori%20Pangan%20dan%20Perubahan%20Bahan%20Baku%20Yang%20Berasal%20Dari%20Tanaman%20atau%20Hewan" TargetMode="External" /><Relationship Id="rId7" Type="http://schemas.openxmlformats.org/officeDocument/2006/relationships/hyperlink" Target="https://members.wto.org/crnattachments/2025/TBT/IDN/final_measure/25_04751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455</Words>
  <Characters>2597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2025-07-23T07:05:00Z</dcterms:created>
  <dcterms:modified xsi:type="dcterms:W3CDTF">2025-07-23T07:05:00Z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