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4866F">
      <w:pPr>
        <w:pStyle w:val="84"/>
        <w:rPr>
          <w:caps w:val="0"/>
          <w:kern w:val="0"/>
        </w:rPr>
      </w:pPr>
      <w:r>
        <w:rPr>
          <w:caps w:val="0"/>
          <w:kern w:val="0"/>
        </w:rPr>
        <w:t>NOTIFICATION</w:t>
      </w:r>
    </w:p>
    <w:p w14:paraId="4E45F723">
      <w:pPr>
        <w:jc w:val="center"/>
      </w:pPr>
      <w:r>
        <w:t>The following notification is being circulated in accordance with Article 10.6</w:t>
      </w:r>
    </w:p>
    <w:p w14:paraId="6D26E27F"/>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AA5617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7CC1F7F">
            <w:pPr>
              <w:spacing w:before="120" w:after="120"/>
              <w:jc w:val="left"/>
            </w:pPr>
            <w:r>
              <w:rPr>
                <w:b/>
              </w:rPr>
              <w:t>1.</w:t>
            </w:r>
          </w:p>
        </w:tc>
        <w:tc>
          <w:tcPr>
            <w:tcW w:w="8546" w:type="dxa"/>
            <w:tcBorders>
              <w:bottom w:val="single" w:color="auto" w:sz="6" w:space="0"/>
            </w:tcBorders>
            <w:shd w:val="clear" w:color="auto" w:fill="auto"/>
          </w:tcPr>
          <w:p w14:paraId="3CE0FA44">
            <w:pPr>
              <w:spacing w:before="120" w:after="120"/>
            </w:pPr>
            <w:r>
              <w:rPr>
                <w:b/>
              </w:rPr>
              <w:t>Notifying Member:</w:t>
            </w:r>
            <w:r>
              <w:t xml:space="preserve"> </w:t>
            </w:r>
            <w:r>
              <w:rPr>
                <w:u w:val="single"/>
              </w:rPr>
              <w:t>THE SEPARATE CUSTOMS TERRITORY OF TAIWAN, PENGHU, KINMEN AND MATSU</w:t>
            </w:r>
          </w:p>
          <w:p w14:paraId="1DEDE636">
            <w:pPr>
              <w:spacing w:after="120"/>
            </w:pPr>
            <w:r>
              <w:rPr>
                <w:b/>
              </w:rPr>
              <w:t>If applicable, name of local government involved (Article 3.2 and 7.2):</w:t>
            </w:r>
            <w:r>
              <w:t xml:space="preserve"> </w:t>
            </w:r>
          </w:p>
        </w:tc>
      </w:tr>
      <w:tr w14:paraId="10EB2CD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99B0E8">
            <w:pPr>
              <w:spacing w:before="120" w:after="120"/>
              <w:jc w:val="left"/>
            </w:pPr>
            <w:r>
              <w:rPr>
                <w:b/>
              </w:rPr>
              <w:t>2.</w:t>
            </w:r>
          </w:p>
        </w:tc>
        <w:tc>
          <w:tcPr>
            <w:tcW w:w="8546" w:type="dxa"/>
            <w:tcBorders>
              <w:top w:val="single" w:color="auto" w:sz="6" w:space="0"/>
              <w:bottom w:val="single" w:color="auto" w:sz="6" w:space="0"/>
            </w:tcBorders>
            <w:shd w:val="clear" w:color="auto" w:fill="auto"/>
          </w:tcPr>
          <w:p w14:paraId="34248C79">
            <w:pPr>
              <w:spacing w:before="120" w:after="120"/>
            </w:pPr>
            <w:r>
              <w:rPr>
                <w:b/>
              </w:rPr>
              <w:t>Agency responsible:</w:t>
            </w:r>
            <w:r>
              <w:t xml:space="preserve"> </w:t>
            </w:r>
          </w:p>
          <w:p w14:paraId="4A64EC96">
            <w:pPr>
              <w:spacing w:after="120"/>
            </w:pPr>
            <w:r>
              <w:t>Bureau of Standards, Metrology and Inspection (BSMI)</w:t>
            </w:r>
          </w:p>
          <w:p w14:paraId="38EA55D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5DFB2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923D58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EC34FF7">
            <w:pPr>
              <w:spacing w:before="120" w:after="120"/>
            </w:pPr>
            <w:r>
              <w:rPr>
                <w:b/>
              </w:rPr>
              <w:t>Notified under Article 2.9.2 [X], 2.10.1 [ ], 5.6.2 [</w:t>
            </w:r>
            <w:r>
              <w:rPr>
                <w:rFonts w:hint="eastAsia" w:eastAsia="宋体"/>
                <w:b/>
                <w:lang w:val="en-US" w:eastAsia="zh-CN"/>
              </w:rPr>
              <w:t>X</w:t>
            </w:r>
            <w:r>
              <w:rPr>
                <w:b/>
              </w:rPr>
              <w:t>], 5.7.1 [ ], 3.2 [ ], 7.2 [ ], other:</w:t>
            </w:r>
            <w:r>
              <w:t xml:space="preserve"> </w:t>
            </w:r>
          </w:p>
        </w:tc>
      </w:tr>
      <w:tr w14:paraId="65ABC9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C4A8A4">
            <w:pPr>
              <w:spacing w:before="120" w:after="120"/>
              <w:jc w:val="left"/>
            </w:pPr>
            <w:r>
              <w:rPr>
                <w:b/>
              </w:rPr>
              <w:t>4.</w:t>
            </w:r>
          </w:p>
        </w:tc>
        <w:tc>
          <w:tcPr>
            <w:tcW w:w="8546" w:type="dxa"/>
            <w:tcBorders>
              <w:top w:val="single" w:color="auto" w:sz="6" w:space="0"/>
              <w:bottom w:val="single" w:color="auto" w:sz="6" w:space="0"/>
            </w:tcBorders>
            <w:shd w:val="clear" w:color="auto" w:fill="auto"/>
          </w:tcPr>
          <w:p w14:paraId="2086926B">
            <w:pPr>
              <w:spacing w:before="120" w:after="120"/>
            </w:pPr>
            <w:r>
              <w:rPr>
                <w:b/>
              </w:rPr>
              <w:t>Products covered (HS or CCCN where applicable, otherwise national tariff heading. ICS numbers may be provided in addition, where applicable):</w:t>
            </w:r>
            <w:r>
              <w:t xml:space="preserve"> Static converters (HS code(s): 850440); Lithium-ion accumulators (excl. spent) (HS code(s): 850760); Electric accumulators (excl. spent, and lead-acid, nickel-cadmium, nickel-metal hydride and lithium-ion accumulators) (HS code(s): 850780)</w:t>
            </w:r>
          </w:p>
        </w:tc>
      </w:tr>
      <w:tr w14:paraId="3DF66C4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A639051">
            <w:pPr>
              <w:spacing w:before="120" w:after="120"/>
              <w:jc w:val="left"/>
            </w:pPr>
            <w:r>
              <w:rPr>
                <w:b/>
              </w:rPr>
              <w:t>5.</w:t>
            </w:r>
          </w:p>
        </w:tc>
        <w:tc>
          <w:tcPr>
            <w:tcW w:w="8546" w:type="dxa"/>
            <w:tcBorders>
              <w:top w:val="single" w:color="auto" w:sz="6" w:space="0"/>
              <w:bottom w:val="single" w:color="auto" w:sz="6" w:space="0"/>
            </w:tcBorders>
            <w:shd w:val="clear" w:color="auto" w:fill="auto"/>
          </w:tcPr>
          <w:p w14:paraId="7C65025C">
            <w:pPr>
              <w:spacing w:before="120" w:after="120"/>
            </w:pPr>
            <w:r>
              <w:rPr>
                <w:b/>
              </w:rPr>
              <w:t>Title, number of pages and language(s) of the notified document:</w:t>
            </w:r>
            <w:r>
              <w:t xml:space="preserve"> Proposal for Amendments to the Legal Inspection Requirements for Stationary Lithium Battery Storage Appliances; (7 page(s), in Chinese), (6 page(s), in English)</w:t>
            </w:r>
          </w:p>
        </w:tc>
      </w:tr>
      <w:tr w14:paraId="3A58F9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A41098">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E8585E7">
            <w:pPr>
              <w:numPr>
                <w:numId w:val="0"/>
              </w:numPr>
              <w:spacing w:before="120" w:after="120"/>
            </w:pPr>
            <w:r>
              <w:rPr>
                <w:b/>
              </w:rPr>
              <w:t>Description of content:</w:t>
            </w:r>
            <w:r>
              <w:t xml:space="preserve"> To support the global transition to net-zero emissions and align with national energy policies promoting the use of renewable energy and energy storage appliances, the BSMI has included stationary lithium battery storage appliances with a capacity of up to 20 kWh in the mandatory inspection scope to ensure product safety. As these appliances can be expanded based on user needs, the BSMI has proposed broadening the inspection scope to 100 kWh and require communications security inspections for power conversion system (PCS) with a capacity exceeding 20 kW to reduce potential threats to grid security. Conformity Assessment Procedures will remain unchanged.</w:t>
            </w:r>
          </w:p>
        </w:tc>
      </w:tr>
      <w:tr w14:paraId="11395A8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6394F2">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155BCD0">
            <w:pPr>
              <w:spacing w:before="120" w:after="120"/>
              <w:rPr>
                <w:b/>
              </w:rPr>
            </w:pPr>
            <w:r>
              <w:rPr>
                <w:b/>
              </w:rPr>
              <w:t>Objective and rationale, including the nature of urgent problems where applicable:</w:t>
            </w:r>
            <w:r>
              <w:t xml:space="preserve"> Protection of human health or safety; Protection of the environment</w:t>
            </w:r>
          </w:p>
        </w:tc>
      </w:tr>
      <w:tr w14:paraId="656B062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053755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7CC870B3">
            <w:pPr>
              <w:spacing w:before="120" w:after="120"/>
              <w:rPr>
                <w:bCs/>
              </w:rPr>
            </w:pPr>
            <w:r>
              <w:rPr>
                <w:b/>
              </w:rPr>
              <w:t>Relevant documents:</w:t>
            </w:r>
            <w:r>
              <w:t xml:space="preserve"> </w:t>
            </w:r>
          </w:p>
          <w:p w14:paraId="1C0F460F">
            <w:pPr>
              <w:spacing w:before="120" w:after="120"/>
            </w:pPr>
            <w:r>
              <w:rPr>
                <w:i/>
                <w:iCs/>
              </w:rPr>
              <w:t>Government Gazette</w:t>
            </w:r>
            <w:r>
              <w:t>, Vol. 031, No. 132, dated 16 July 2025.</w:t>
            </w:r>
          </w:p>
          <w:p w14:paraId="10FF71C9">
            <w:pPr>
              <w:spacing w:before="120" w:after="120"/>
            </w:pPr>
            <w:r>
              <w:t>(</w:t>
            </w:r>
            <w:r>
              <w:fldChar w:fldCharType="begin"/>
            </w:r>
            <w:r>
              <w:instrText xml:space="preserve"> HYPERLINK "https://gazette.nat.gov.tw/egFront/e_detail.do?metaid=158689" \t "_blank" </w:instrText>
            </w:r>
            <w:r>
              <w:fldChar w:fldCharType="separate"/>
            </w:r>
            <w:r>
              <w:rPr>
                <w:color w:val="0000FF"/>
                <w:u w:val="single"/>
              </w:rPr>
              <w:t>https://gazette.nat.gov.tw/egFront/e_detail.do?metaid=158689</w:t>
            </w:r>
            <w:r>
              <w:rPr>
                <w:color w:val="0000FF"/>
                <w:u w:val="single"/>
              </w:rPr>
              <w:fldChar w:fldCharType="end"/>
            </w:r>
            <w:r>
              <w:t>)</w:t>
            </w:r>
          </w:p>
          <w:p w14:paraId="32BCF8AC">
            <w:pPr>
              <w:spacing w:before="120" w:after="120"/>
            </w:pPr>
            <w:r>
              <w:rPr>
                <w:b/>
                <w:bCs/>
              </w:rPr>
              <w:t>Relevant notifications:</w:t>
            </w:r>
          </w:p>
          <w:p w14:paraId="613B13A6">
            <w:pPr>
              <w:spacing w:before="120" w:after="120"/>
            </w:pPr>
            <w:r>
              <w:fldChar w:fldCharType="begin"/>
            </w:r>
            <w:r>
              <w:instrText xml:space="preserve"> HYPERLINK "https://eping.wto.org/en/Search/Index?viewData=G/TBT/N/TPKM/544" </w:instrText>
            </w:r>
            <w:r>
              <w:fldChar w:fldCharType="separate"/>
            </w:r>
            <w:r>
              <w:rPr>
                <w:color w:val="0000FF"/>
                <w:u w:val="single"/>
              </w:rPr>
              <w:t>G/TBT/N/TPKM/544</w:t>
            </w:r>
            <w:r>
              <w:rPr>
                <w:color w:val="0000FF"/>
                <w:u w:val="single"/>
              </w:rPr>
              <w:fldChar w:fldCharType="end"/>
            </w:r>
          </w:p>
        </w:tc>
      </w:tr>
      <w:tr w14:paraId="0C4798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5D6FE1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3DEE451">
            <w:pPr>
              <w:spacing w:before="120" w:after="120"/>
            </w:pPr>
            <w:r>
              <w:rPr>
                <w:b/>
              </w:rPr>
              <w:t>Proposed date of adoption:</w:t>
            </w:r>
            <w:r>
              <w:t xml:space="preserve"> To be determined</w:t>
            </w:r>
          </w:p>
          <w:p w14:paraId="37E1F225">
            <w:pPr>
              <w:spacing w:after="120"/>
            </w:pPr>
            <w:r>
              <w:rPr>
                <w:b/>
              </w:rPr>
              <w:t>Proposed date of entry into force:</w:t>
            </w:r>
            <w:r>
              <w:t xml:space="preserve"> For battery capacity up to 20 kWh: 1 July 2026. </w:t>
            </w:r>
          </w:p>
          <w:p w14:paraId="1E3B8A4A">
            <w:pPr>
              <w:spacing w:after="120"/>
            </w:pPr>
            <w:r>
              <w:t>For battery capacity over 20 kWh and not exceeding 100 kWh: 1 July 2027.</w:t>
            </w:r>
          </w:p>
        </w:tc>
      </w:tr>
      <w:tr w14:paraId="5B9076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AA84CF">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68F4D57">
            <w:pPr>
              <w:spacing w:before="120" w:after="120"/>
              <w:rPr>
                <w:rFonts w:hint="eastAsia" w:eastAsia="宋体"/>
                <w:bCs/>
                <w:lang w:eastAsia="zh-CN"/>
              </w:rPr>
            </w:pPr>
            <w:r>
              <w:rPr>
                <w:b/>
              </w:rPr>
              <w:t>Final date for comments:</w:t>
            </w:r>
            <w:r>
              <w:t xml:space="preserve"> 16 September 2025</w:t>
            </w:r>
            <w:r>
              <w:rPr>
                <w:rFonts w:hint="eastAsia" w:eastAsia="宋体"/>
                <w:lang w:eastAsia="zh-CN"/>
              </w:rPr>
              <w:t>，</w:t>
            </w:r>
          </w:p>
          <w:p w14:paraId="6F2C4237">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r>
              <w:rPr>
                <w:rFonts w:hint="eastAsia" w:eastAsia="宋体"/>
                <w:lang w:eastAsia="zh-CN"/>
              </w:rPr>
              <w:t>，</w:t>
            </w:r>
          </w:p>
          <w:p w14:paraId="44210C89">
            <w:r>
              <w:t>WTO TBT Enquiry Point</w:t>
            </w:r>
          </w:p>
          <w:p w14:paraId="42EABF08">
            <w:r>
              <w:t>Bureau of Standards, Metrology and Inspection</w:t>
            </w:r>
          </w:p>
          <w:p w14:paraId="42AF78E3">
            <w:r>
              <w:t>Ministry of Economic Affairs</w:t>
            </w:r>
          </w:p>
          <w:p w14:paraId="60BD7447">
            <w:r>
              <w:t>No. 4, Sec. 1, Jinan Rd., Zhongzheng Dist.</w:t>
            </w:r>
          </w:p>
          <w:p w14:paraId="5F22C37F">
            <w:r>
              <w:t>Taipei City 100, Taiwan</w:t>
            </w:r>
          </w:p>
          <w:p w14:paraId="53B2DB11">
            <w:r>
              <w:t>Tel: +(886-2) 23431700#1566</w:t>
            </w:r>
          </w:p>
          <w:p w14:paraId="0F8B05A7">
            <w:r>
              <w:t>Fax: +(886-2) 23431804</w:t>
            </w:r>
          </w:p>
          <w:p w14:paraId="49AB325F">
            <w:pPr>
              <w:tabs>
                <w:tab w:val="left" w:pos="1418"/>
                <w:tab w:val="left" w:pos="2127"/>
                <w:tab w:val="left" w:pos="2835"/>
                <w:tab w:val="left" w:pos="3402"/>
              </w:tabs>
              <w:spacing w:before="120" w:after="120"/>
              <w:rPr>
                <w:rFonts w:hint="eastAsia" w:eastAsia="宋体"/>
                <w:lang w:eastAsia="zh-CN"/>
              </w:rPr>
            </w:pPr>
            <w:r>
              <w:t xml:space="preserve">Email: </w:t>
            </w:r>
            <w:r>
              <w:fldChar w:fldCharType="begin"/>
            </w:r>
            <w:r>
              <w:instrText xml:space="preserve"> HYPERLINK "mailto:tbtenq@bsmi.gov.tw" </w:instrText>
            </w:r>
            <w:r>
              <w:fldChar w:fldCharType="separate"/>
            </w:r>
            <w:r>
              <w:rPr>
                <w:color w:val="0000FF"/>
                <w:u w:val="single"/>
              </w:rPr>
              <w:t>tbtenq@bsmi.gov.tw</w:t>
            </w:r>
            <w:r>
              <w:rPr>
                <w:color w:val="0000FF"/>
                <w:u w:val="single"/>
              </w:rPr>
              <w:fldChar w:fldCharType="end"/>
            </w:r>
            <w:bookmarkStart w:id="10" w:name="_GoBack"/>
            <w:bookmarkEnd w:id="10"/>
          </w:p>
        </w:tc>
      </w:tr>
      <w:tr w14:paraId="3C0D03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0289890">
            <w:pPr>
              <w:keepNext/>
              <w:keepLines/>
              <w:spacing w:before="120" w:after="120"/>
              <w:jc w:val="left"/>
              <w:rPr>
                <w:b/>
              </w:rPr>
            </w:pPr>
            <w:r>
              <w:rPr>
                <w:b/>
              </w:rPr>
              <w:t>11.</w:t>
            </w:r>
          </w:p>
        </w:tc>
        <w:tc>
          <w:tcPr>
            <w:tcW w:w="8546" w:type="dxa"/>
            <w:tcBorders>
              <w:top w:val="single" w:color="auto" w:sz="6" w:space="0"/>
            </w:tcBorders>
            <w:shd w:val="clear" w:color="auto" w:fill="auto"/>
          </w:tcPr>
          <w:p w14:paraId="4071ACF8">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11A6836F">
            <w:pPr>
              <w:keepNext/>
              <w:keepLines/>
              <w:spacing w:after="120"/>
              <w:rPr>
                <w:bCs/>
              </w:rPr>
            </w:pPr>
            <w:r>
              <w:rPr>
                <w:iCs/>
              </w:rPr>
              <w:t xml:space="preserve">WTO TBT Enquiry Point, Email: </w:t>
            </w:r>
            <w:r>
              <w:fldChar w:fldCharType="begin"/>
            </w:r>
            <w:r>
              <w:instrText xml:space="preserve"> HYPERLINK "mailto:tbtenq@bsmi.gov.tw" </w:instrText>
            </w:r>
            <w:r>
              <w:fldChar w:fldCharType="separate"/>
            </w:r>
            <w:r>
              <w:rPr>
                <w:iCs/>
                <w:color w:val="0000FF"/>
                <w:u w:val="single"/>
              </w:rPr>
              <w:t>tbtenq@bsmi.gov.tw</w:t>
            </w:r>
            <w:r>
              <w:rPr>
                <w:iCs/>
                <w:color w:val="0000FF"/>
                <w:u w:val="single"/>
              </w:rPr>
              <w:fldChar w:fldCharType="end"/>
            </w:r>
          </w:p>
          <w:p w14:paraId="6F5B368E">
            <w:pPr>
              <w:pBdr>
                <w:top w:val="none" w:color="auto" w:sz="0" w:space="4"/>
              </w:pBdr>
              <w:rPr>
                <w:iCs/>
              </w:rPr>
            </w:pPr>
            <w:r>
              <w:fldChar w:fldCharType="begin"/>
            </w:r>
            <w:r>
              <w:instrText xml:space="preserve"> HYPERLINK "https://members.wto.org/crnattachments/2025/TBT/TPKM/25_04681_00_e.pdf" \t "_blank" </w:instrText>
            </w:r>
            <w:r>
              <w:fldChar w:fldCharType="separate"/>
            </w:r>
            <w:r>
              <w:rPr>
                <w:iCs/>
                <w:color w:val="0000FF"/>
                <w:u w:val="single"/>
              </w:rPr>
              <w:t>https://members.wto.org/crnattachments/2025/TBT/TPKM/25_04681_00_e.pdf</w:t>
            </w:r>
            <w:r>
              <w:rPr>
                <w:iCs/>
                <w:color w:val="0000FF"/>
                <w:u w:val="single"/>
              </w:rPr>
              <w:fldChar w:fldCharType="end"/>
            </w:r>
          </w:p>
          <w:p w14:paraId="1948D708">
            <w:pPr>
              <w:pBdr>
                <w:bottom w:val="none" w:color="auto" w:sz="0" w:space="4"/>
              </w:pBdr>
              <w:rPr>
                <w:iCs/>
              </w:rPr>
            </w:pPr>
            <w:r>
              <w:fldChar w:fldCharType="begin"/>
            </w:r>
            <w:r>
              <w:instrText xml:space="preserve"> HYPERLINK "https://members.wto.org/crnattachments/2025/TBT/TPKM/25_04681_00_x.pdf" \t "_blank" </w:instrText>
            </w:r>
            <w:r>
              <w:fldChar w:fldCharType="separate"/>
            </w:r>
            <w:r>
              <w:rPr>
                <w:iCs/>
                <w:color w:val="0000FF"/>
                <w:u w:val="single"/>
              </w:rPr>
              <w:t>https://members.wto.org/crnattachments/2025/TBT/TPKM/25_04681_00_x.pdf</w:t>
            </w:r>
            <w:r>
              <w:rPr>
                <w:iCs/>
                <w:color w:val="0000FF"/>
                <w:u w:val="single"/>
              </w:rPr>
              <w:fldChar w:fldCharType="end"/>
            </w:r>
          </w:p>
          <w:p w14:paraId="27DF3129">
            <w:pPr>
              <w:keepNext/>
              <w:keepLines/>
              <w:spacing w:after="120"/>
              <w:rPr>
                <w:bCs/>
              </w:rPr>
            </w:pPr>
          </w:p>
        </w:tc>
      </w:tr>
    </w:tbl>
    <w:p w14:paraId="5A57BE7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47EB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C289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BFB8">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53AFE">
    <w:pPr>
      <w:pStyle w:val="58"/>
      <w:pBdr>
        <w:bottom w:val="single" w:color="auto" w:sz="4" w:space="1"/>
      </w:pBdr>
      <w:tabs>
        <w:tab w:val="clear" w:pos="4513"/>
        <w:tab w:val="clear" w:pos="9027"/>
      </w:tabs>
      <w:jc w:val="center"/>
    </w:pPr>
    <w:bookmarkStart w:id="9" w:name="spsSymbolHeader"/>
    <w:r>
      <w:t>G/TBT/N/TPKM/562</w:t>
    </w:r>
    <w:bookmarkEnd w:id="9"/>
  </w:p>
  <w:p w14:paraId="60551EE1">
    <w:pPr>
      <w:pStyle w:val="58"/>
      <w:pBdr>
        <w:bottom w:val="single" w:color="auto" w:sz="4" w:space="1"/>
      </w:pBdr>
      <w:tabs>
        <w:tab w:val="clear" w:pos="4513"/>
        <w:tab w:val="clear" w:pos="9027"/>
      </w:tabs>
      <w:jc w:val="center"/>
    </w:pPr>
  </w:p>
  <w:p w14:paraId="3C8E7A3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0F2D5E9">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E08F6">
    <w:pPr>
      <w:pStyle w:val="58"/>
      <w:pBdr>
        <w:bottom w:val="single" w:color="auto" w:sz="4" w:space="1"/>
      </w:pBdr>
      <w:tabs>
        <w:tab w:val="clear" w:pos="4513"/>
        <w:tab w:val="clear" w:pos="9027"/>
      </w:tabs>
      <w:jc w:val="center"/>
    </w:pPr>
    <w:r>
      <w:t>tbtSymbol</w:t>
    </w:r>
  </w:p>
  <w:p w14:paraId="686AA9C5">
    <w:pPr>
      <w:pStyle w:val="58"/>
      <w:pBdr>
        <w:bottom w:val="single" w:color="auto" w:sz="4" w:space="1"/>
      </w:pBdr>
      <w:tabs>
        <w:tab w:val="clear" w:pos="4513"/>
        <w:tab w:val="clear" w:pos="9027"/>
      </w:tabs>
      <w:jc w:val="center"/>
    </w:pPr>
  </w:p>
  <w:p w14:paraId="5EFFD3B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690113">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4178C9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9AB4CDC">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0BB0436E">
          <w:pPr>
            <w:jc w:val="right"/>
            <w:rPr>
              <w:b/>
              <w:color w:val="FF0000"/>
              <w:szCs w:val="16"/>
            </w:rPr>
          </w:pPr>
        </w:p>
      </w:tc>
    </w:tr>
    <w:bookmarkEnd w:id="0"/>
    <w:tr w14:paraId="686C0C6A">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678FDC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AABB5D9">
          <w:pPr>
            <w:jc w:val="right"/>
            <w:rPr>
              <w:b/>
              <w:szCs w:val="16"/>
            </w:rPr>
          </w:pPr>
        </w:p>
      </w:tc>
    </w:tr>
    <w:tr w14:paraId="342FB5D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4251C65">
          <w:pPr>
            <w:jc w:val="left"/>
            <w:rPr>
              <w:lang w:eastAsia="en-GB"/>
            </w:rPr>
          </w:pPr>
        </w:p>
      </w:tc>
      <w:tc>
        <w:tcPr>
          <w:tcW w:w="5448" w:type="dxa"/>
          <w:gridSpan w:val="2"/>
          <w:shd w:val="clear" w:color="auto" w:fill="FFFFFF"/>
          <w:tcMar>
            <w:left w:w="108" w:type="dxa"/>
            <w:right w:w="108" w:type="dxa"/>
          </w:tcMar>
        </w:tcPr>
        <w:p w14:paraId="6EBF1905">
          <w:pPr>
            <w:jc w:val="right"/>
            <w:rPr>
              <w:rFonts w:hint="eastAsia" w:eastAsia="宋体"/>
              <w:b/>
              <w:szCs w:val="16"/>
              <w:lang w:eastAsia="zh-CN"/>
            </w:rPr>
          </w:pPr>
          <w:bookmarkStart w:id="1" w:name="bmkSymbols"/>
          <w:r>
            <w:rPr>
              <w:b/>
              <w:szCs w:val="16"/>
            </w:rPr>
            <w:t>G/TBT/N/TPKM/56</w:t>
          </w:r>
          <w:bookmarkEnd w:id="1"/>
          <w:r>
            <w:rPr>
              <w:rFonts w:hint="eastAsia" w:eastAsia="宋体"/>
              <w:b/>
              <w:szCs w:val="16"/>
              <w:lang w:val="en-US" w:eastAsia="zh-CN"/>
            </w:rPr>
            <w:t>4</w:t>
          </w:r>
        </w:p>
      </w:tc>
    </w:tr>
    <w:tr w14:paraId="1AEB623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560285D"/>
      </w:tc>
      <w:tc>
        <w:tcPr>
          <w:tcW w:w="5448" w:type="dxa"/>
          <w:gridSpan w:val="2"/>
          <w:shd w:val="clear" w:color="auto" w:fill="FFFFFF"/>
          <w:tcMar>
            <w:left w:w="108" w:type="dxa"/>
            <w:right w:w="108" w:type="dxa"/>
          </w:tcMar>
          <w:vAlign w:val="center"/>
        </w:tcPr>
        <w:p w14:paraId="74F94C27">
          <w:pPr>
            <w:jc w:val="right"/>
            <w:rPr>
              <w:szCs w:val="16"/>
            </w:rPr>
          </w:pPr>
          <w:bookmarkStart w:id="2" w:name="spsDateDistribution"/>
          <w:bookmarkStart w:id="3" w:name="bmkDate"/>
          <w:r>
            <w:rPr>
              <w:szCs w:val="16"/>
            </w:rPr>
            <w:t>18 July 2025</w:t>
          </w:r>
          <w:bookmarkEnd w:id="2"/>
          <w:bookmarkEnd w:id="3"/>
        </w:p>
      </w:tc>
    </w:tr>
    <w:tr w14:paraId="7E20524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324918E">
          <w:pPr>
            <w:jc w:val="left"/>
            <w:rPr>
              <w:b/>
            </w:rPr>
          </w:pPr>
          <w:bookmarkStart w:id="4" w:name="bmkSerial"/>
          <w:r>
            <w:rPr>
              <w:b w:val="0"/>
              <w:color w:val="FF0000"/>
            </w:rPr>
            <w:t>(25-</w:t>
          </w:r>
          <w:r>
            <w:rPr>
              <w:rFonts w:hint="eastAsia" w:eastAsia="宋体"/>
              <w:b w:val="0"/>
              <w:color w:val="FF0000"/>
              <w:lang w:val="en-US" w:eastAsia="zh-CN"/>
            </w:rPr>
            <w:t>4635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CF0D4C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387F2CB">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901422A">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0540D1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17A26C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42EBA"/>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0FB3"/>
    <w:rsid w:val="00682D50"/>
    <w:rsid w:val="006845EE"/>
    <w:rsid w:val="0069259F"/>
    <w:rsid w:val="00696B74"/>
    <w:rsid w:val="006A72C8"/>
    <w:rsid w:val="006D5528"/>
    <w:rsid w:val="006D6F16"/>
    <w:rsid w:val="006E4336"/>
    <w:rsid w:val="006E6A4E"/>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1BC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3333A"/>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5378623D"/>
    <w:rsid w:val="7EE75E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7E5C5D8-4205-481E-8E07-06C5D6391D33}">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477</Words>
  <Characters>3053</Characters>
  <Lines>75</Lines>
  <Paragraphs>42</Paragraphs>
  <TotalTime>0</TotalTime>
  <ScaleCrop>false</ScaleCrop>
  <LinksUpToDate>false</LinksUpToDate>
  <CharactersWithSpaces>3485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2025-06-17T12:25:00Z</dcterms:created>
  <dc:description>LDIMD - DTU</dc:description>
  <dcterms:modified xsi:type="dcterms:W3CDTF">2025-07-18T15:30:37Z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C33F068B3E164948880935F9E8D56259_12</vt:lpwstr>
  </property>
</Properties>
</file>