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4CAD99">
      <w:pPr>
        <w:pStyle w:val="84"/>
        <w:rPr>
          <w:caps w:val="0"/>
          <w:kern w:val="0"/>
        </w:rPr>
      </w:pPr>
      <w:r>
        <w:rPr>
          <w:caps w:val="0"/>
          <w:kern w:val="0"/>
        </w:rPr>
        <w:t>NOTIFICATION</w:t>
      </w:r>
      <w:bookmarkStart w:id="10" w:name="_GoBack"/>
      <w:bookmarkEnd w:id="10"/>
    </w:p>
    <w:p w14:paraId="66AC993A">
      <w:pPr>
        <w:jc w:val="center"/>
      </w:pPr>
      <w:r>
        <w:t>The following notification is being circulated in accordance with Article 10.6</w:t>
      </w:r>
    </w:p>
    <w:p w14:paraId="067F2D5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00AB1F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57FA882A">
            <w:pPr>
              <w:spacing w:before="120" w:after="120"/>
              <w:jc w:val="left"/>
            </w:pPr>
            <w:r>
              <w:rPr>
                <w:b/>
              </w:rPr>
              <w:t>1.</w:t>
            </w:r>
          </w:p>
        </w:tc>
        <w:tc>
          <w:tcPr>
            <w:tcW w:w="8546" w:type="dxa"/>
            <w:tcBorders>
              <w:bottom w:val="single" w:color="auto" w:sz="6" w:space="0"/>
            </w:tcBorders>
            <w:shd w:val="clear" w:color="auto" w:fill="auto"/>
          </w:tcPr>
          <w:p w14:paraId="4146AA3F">
            <w:pPr>
              <w:spacing w:before="120" w:after="120"/>
            </w:pPr>
            <w:r>
              <w:rPr>
                <w:b/>
              </w:rPr>
              <w:t>Notifying Member:</w:t>
            </w:r>
            <w:r>
              <w:t xml:space="preserve"> </w:t>
            </w:r>
            <w:r>
              <w:rPr>
                <w:u w:val="single"/>
              </w:rPr>
              <w:t>UNITED KINGDOM</w:t>
            </w:r>
          </w:p>
          <w:p w14:paraId="4EFDF772">
            <w:r>
              <w:rPr>
                <w:b/>
              </w:rPr>
              <w:t>If applicable, name of local government involved (Article 3.2 and 7.2):</w:t>
            </w:r>
            <w:r>
              <w:t xml:space="preserve"> N/A</w:t>
            </w:r>
          </w:p>
        </w:tc>
      </w:tr>
      <w:tr w14:paraId="7E303D2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5A63F7">
            <w:pPr>
              <w:spacing w:before="120" w:after="120"/>
              <w:jc w:val="left"/>
            </w:pPr>
            <w:r>
              <w:rPr>
                <w:b/>
              </w:rPr>
              <w:t>2.</w:t>
            </w:r>
          </w:p>
        </w:tc>
        <w:tc>
          <w:tcPr>
            <w:tcW w:w="8546" w:type="dxa"/>
            <w:tcBorders>
              <w:top w:val="single" w:color="auto" w:sz="6" w:space="0"/>
              <w:bottom w:val="single" w:color="auto" w:sz="6" w:space="0"/>
            </w:tcBorders>
            <w:shd w:val="clear" w:color="auto" w:fill="auto"/>
          </w:tcPr>
          <w:p w14:paraId="67B9D1A6">
            <w:pPr>
              <w:spacing w:before="120" w:after="120"/>
            </w:pPr>
            <w:r>
              <w:rPr>
                <w:b/>
              </w:rPr>
              <w:t>Agency responsible:</w:t>
            </w:r>
            <w:r>
              <w:t xml:space="preserve"> </w:t>
            </w:r>
          </w:p>
          <w:p w14:paraId="5EACA964">
            <w:pPr>
              <w:spacing w:after="120"/>
            </w:pPr>
            <w:r>
              <w:t>Department for Energy Security and Net Zero</w:t>
            </w:r>
          </w:p>
          <w:p w14:paraId="27F5079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99AC93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A8296A">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1D498C5F">
            <w:pPr>
              <w:spacing w:before="120" w:after="120"/>
            </w:pPr>
            <w:r>
              <w:rPr>
                <w:b/>
              </w:rPr>
              <w:t>Notified under Article 2.9.2 [X], 2.10.1 [ ], 5.6.2 [ ], 5.7.1 [ ], 3.2 [ ], 7.2 [ ], other:</w:t>
            </w:r>
            <w:r>
              <w:t xml:space="preserve"> </w:t>
            </w:r>
          </w:p>
        </w:tc>
      </w:tr>
      <w:tr w14:paraId="1910480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261F5E">
            <w:pPr>
              <w:spacing w:before="120" w:after="120"/>
              <w:jc w:val="left"/>
            </w:pPr>
            <w:r>
              <w:rPr>
                <w:b/>
              </w:rPr>
              <w:t>4.</w:t>
            </w:r>
          </w:p>
        </w:tc>
        <w:tc>
          <w:tcPr>
            <w:tcW w:w="8546" w:type="dxa"/>
            <w:tcBorders>
              <w:top w:val="single" w:color="auto" w:sz="6" w:space="0"/>
              <w:bottom w:val="single" w:color="auto" w:sz="6" w:space="0"/>
            </w:tcBorders>
            <w:shd w:val="clear" w:color="auto" w:fill="auto"/>
          </w:tcPr>
          <w:p w14:paraId="7B8E318F">
            <w:pPr>
              <w:spacing w:before="120" w:after="120"/>
            </w:pPr>
            <w:r>
              <w:rPr>
                <w:b/>
              </w:rPr>
              <w:t>Products covered (HS or CCCN where applicable, otherwise national tariff heading. ICS numbers may be provided in addition, where applicable):</w:t>
            </w:r>
            <w:r>
              <w:t xml:space="preserve"> ESSENTIAL OILS AND RESINOIDS; PERFUMERY, COSMETIC OR TOILET PREPARATIONS (HS code(s): 33)</w:t>
            </w:r>
          </w:p>
        </w:tc>
      </w:tr>
      <w:tr w14:paraId="3C66282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0A882AC">
            <w:pPr>
              <w:spacing w:before="120" w:after="120"/>
              <w:jc w:val="left"/>
            </w:pPr>
            <w:r>
              <w:rPr>
                <w:b/>
              </w:rPr>
              <w:t>5.</w:t>
            </w:r>
          </w:p>
        </w:tc>
        <w:tc>
          <w:tcPr>
            <w:tcW w:w="8546" w:type="dxa"/>
            <w:tcBorders>
              <w:top w:val="single" w:color="auto" w:sz="6" w:space="0"/>
              <w:bottom w:val="single" w:color="auto" w:sz="6" w:space="0"/>
            </w:tcBorders>
            <w:shd w:val="clear" w:color="auto" w:fill="auto"/>
          </w:tcPr>
          <w:p w14:paraId="3A53F61B">
            <w:pPr>
              <w:numPr>
                <w:numId w:val="0"/>
              </w:numPr>
              <w:spacing w:before="120" w:after="120"/>
            </w:pPr>
            <w:r>
              <w:rPr>
                <w:b/>
              </w:rPr>
              <w:t>Title, number of pages and language(s) of the notified document:</w:t>
            </w:r>
            <w:r>
              <w:t xml:space="preserve"> </w:t>
            </w:r>
          </w:p>
          <w:p w14:paraId="545FD746">
            <w:pPr>
              <w:numPr>
                <w:numId w:val="0"/>
              </w:numPr>
              <w:spacing w:before="120" w:after="120"/>
            </w:pPr>
            <w:r>
              <w:rPr>
                <w:rFonts w:hint="eastAsia" w:eastAsia="宋体"/>
                <w:lang w:val="en-US" w:eastAsia="zh-CN"/>
              </w:rPr>
              <w:t>1.</w:t>
            </w:r>
            <w:r>
              <w:t>Consultation document on proposed new standards for household tumble dryers, 43 pages, English.</w:t>
            </w:r>
          </w:p>
          <w:p w14:paraId="7BD268C0">
            <w:pPr>
              <w:numPr>
                <w:numId w:val="0"/>
              </w:numPr>
              <w:spacing w:before="120" w:after="120"/>
            </w:pPr>
            <w:r>
              <w:rPr>
                <w:rFonts w:hint="eastAsia" w:eastAsia="宋体"/>
                <w:lang w:val="en-US" w:eastAsia="zh-CN"/>
              </w:rPr>
              <w:t>2.</w:t>
            </w:r>
            <w:r>
              <w:t>Draft statutory instrument, 58 pages, English.</w:t>
            </w:r>
          </w:p>
          <w:p w14:paraId="52098329">
            <w:pPr>
              <w:numPr>
                <w:numId w:val="0"/>
              </w:numPr>
              <w:spacing w:before="120" w:after="120"/>
            </w:pPr>
            <w:r>
              <w:rPr>
                <w:rFonts w:hint="eastAsia" w:eastAsia="宋体"/>
                <w:lang w:val="en-US" w:eastAsia="zh-CN"/>
              </w:rPr>
              <w:t>3.</w:t>
            </w:r>
            <w:r>
              <w:t>Options assessment, 36 pages, English.</w:t>
            </w:r>
          </w:p>
          <w:p w14:paraId="679A2425">
            <w:pPr>
              <w:spacing w:before="120" w:after="120"/>
            </w:pPr>
          </w:p>
        </w:tc>
      </w:tr>
      <w:tr w14:paraId="065946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1E4E4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ACF931E">
            <w:pPr>
              <w:spacing w:before="120" w:after="120"/>
              <w:rPr>
                <w:b/>
              </w:rPr>
            </w:pPr>
            <w:r>
              <w:rPr>
                <w:b/>
              </w:rPr>
              <w:t>Description of content:</w:t>
            </w:r>
            <w:r>
              <w:t xml:space="preserve"> The UK Government is proposing to update existing ecodesign and energy labelling regulations for household tumble dryers placed on the GB market. We aim to mirror the EU's new regulations for household tumble dryers in GB.</w:t>
            </w:r>
          </w:p>
          <w:p w14:paraId="384BCAD4">
            <w:pPr>
              <w:numPr>
                <w:ilvl w:val="0"/>
                <w:numId w:val="7"/>
              </w:numPr>
              <w:spacing w:before="120" w:after="120"/>
            </w:pPr>
            <w:r>
              <w:t xml:space="preserve">for ecodesign, mirrors </w:t>
            </w:r>
            <w:r>
              <w:fldChar w:fldCharType="begin"/>
            </w:r>
            <w:r>
              <w:instrText xml:space="preserve"> HYPERLINK "https://eur-lex.europa.eu/legal-content/EN/TXT/?uri=OJ%3AL_202302533" </w:instrText>
            </w:r>
            <w:r>
              <w:fldChar w:fldCharType="separate"/>
            </w:r>
            <w:r>
              <w:rPr>
                <w:color w:val="0000FF"/>
                <w:u w:val="single"/>
              </w:rPr>
              <w:t>Regulation (EU) 2023/2533</w:t>
            </w:r>
            <w:r>
              <w:rPr>
                <w:color w:val="0000FF"/>
                <w:u w:val="single"/>
              </w:rPr>
              <w:fldChar w:fldCharType="end"/>
            </w:r>
            <w:r>
              <w:t xml:space="preserve"> in GB.</w:t>
            </w:r>
          </w:p>
          <w:p w14:paraId="4EB0F444">
            <w:pPr>
              <w:numPr>
                <w:ilvl w:val="0"/>
                <w:numId w:val="7"/>
              </w:numPr>
              <w:spacing w:before="120" w:after="120"/>
            </w:pPr>
            <w:r>
              <w:t xml:space="preserve">for labelling, mirrors </w:t>
            </w:r>
            <w:r>
              <w:fldChar w:fldCharType="begin"/>
            </w:r>
            <w:r>
              <w:instrText xml:space="preserve"> HYPERLINK "https://eur-lex.europa.eu/legal-content/EN/TXT/?uri=OJ%3AL_202302534" </w:instrText>
            </w:r>
            <w:r>
              <w:fldChar w:fldCharType="separate"/>
            </w:r>
            <w:r>
              <w:rPr>
                <w:color w:val="0000FF"/>
                <w:u w:val="single"/>
              </w:rPr>
              <w:t>Regulation (EU) 2023/2534</w:t>
            </w:r>
            <w:r>
              <w:rPr>
                <w:color w:val="0000FF"/>
                <w:u w:val="single"/>
              </w:rPr>
              <w:fldChar w:fldCharType="end"/>
            </w:r>
            <w:r>
              <w:t xml:space="preserve"> in GB.</w:t>
            </w:r>
          </w:p>
          <w:p w14:paraId="5230F0E4">
            <w:pPr>
              <w:spacing w:before="120" w:after="120"/>
              <w:rPr>
                <w:b/>
              </w:rPr>
            </w:pPr>
            <w:r>
              <w:t>We have also published an options assessment alongside this consultation which details our analysis of the costs and benefits of this policy and a draft Statutory up Instrument.</w:t>
            </w:r>
          </w:p>
        </w:tc>
      </w:tr>
      <w:tr w14:paraId="0209EC8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9EF4FB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D83A85F">
            <w:pPr>
              <w:spacing w:before="120" w:after="120"/>
              <w:rPr>
                <w:b/>
              </w:rPr>
            </w:pPr>
            <w:r>
              <w:rPr>
                <w:b/>
              </w:rPr>
              <w:t>Objective and rationale, including the nature of urgent problems where applicable:</w:t>
            </w:r>
            <w:r>
              <w:t xml:space="preserve"> TBT legitimate objectives:</w:t>
            </w:r>
          </w:p>
          <w:p w14:paraId="4EDF155C">
            <w:pPr>
              <w:numPr>
                <w:ilvl w:val="0"/>
                <w:numId w:val="8"/>
              </w:numPr>
              <w:spacing w:before="120" w:after="120"/>
            </w:pPr>
            <w:r>
              <w:t>Protection of the environment. These proposals will save 0.91MtCO2e in carbon by 2050, contributing towards net zero targets.</w:t>
            </w:r>
          </w:p>
          <w:p w14:paraId="5F4343E2">
            <w:pPr>
              <w:numPr>
                <w:ilvl w:val="0"/>
                <w:numId w:val="8"/>
              </w:numPr>
              <w:spacing w:before="120" w:after="120"/>
            </w:pPr>
            <w:r>
              <w:t>Consumer information, labelling. The proposed measures will improve consumer information by rescaling the energy efficiency classes on GB energy labels from an A+++ - D scale to an A – G scale, as well as introducing classifications for noise emission, condensation efficiency and repairability.</w:t>
            </w:r>
          </w:p>
          <w:p w14:paraId="329030A9">
            <w:pPr>
              <w:numPr>
                <w:ilvl w:val="0"/>
                <w:numId w:val="8"/>
              </w:numPr>
              <w:spacing w:before="120" w:after="120"/>
            </w:pPr>
            <w:r>
              <w:t>Reducing trade barriers and facilitating trade. We propose to mirror the new EU regulations in GB which will prevent unnecessary barriers to trade with the EU and with Northern Ireland (where EU regulations automatically apply under the terms of the Windsor Framework).</w:t>
            </w:r>
          </w:p>
          <w:p w14:paraId="60A78B06">
            <w:pPr>
              <w:spacing w:before="120" w:after="120"/>
            </w:pPr>
            <w:r>
              <w:t>This Draft SI aims to:</w:t>
            </w:r>
          </w:p>
          <w:p w14:paraId="168D57E6">
            <w:pPr>
              <w:numPr>
                <w:ilvl w:val="0"/>
                <w:numId w:val="9"/>
              </w:numPr>
              <w:spacing w:before="120" w:after="120"/>
            </w:pPr>
            <w:r>
              <w:t>Enhance efficiency:</w:t>
            </w:r>
          </w:p>
          <w:p w14:paraId="4771C98D">
            <w:pPr>
              <w:spacing w:before="120" w:after="120"/>
            </w:pPr>
            <w:r>
              <w:t>The proposed Minimum Energy Performance Standards would improve the efficiency of products available on the GB market by phasing out the least efficient air-vented, gas-fired and condenser tumble dryers from the market and ensuring that only the most efficient heat-pump tumble dryers are available for consumers, thereby reducing domestic energy consumption, carbon emissions and consumer energy bills.</w:t>
            </w:r>
          </w:p>
          <w:p w14:paraId="734E0C7F">
            <w:pPr>
              <w:numPr>
                <w:ilvl w:val="0"/>
                <w:numId w:val="10"/>
              </w:numPr>
              <w:spacing w:before="120" w:after="120"/>
            </w:pPr>
            <w:r>
              <w:t>Support a circular economy</w:t>
            </w:r>
          </w:p>
          <w:p w14:paraId="14426205">
            <w:pPr>
              <w:spacing w:before="120" w:after="120"/>
            </w:pPr>
            <w:r>
              <w:t>To support a circular economy, the proposed new measures would enhance product durability, reparability, and end-of-life management. The proposed requirements to ensure the availability of spare parts and supply repair and maintenance documentation aim to provide long-term benefits for both consumers and the environment by improving product lifetimes and reducing unnecessary waste.</w:t>
            </w:r>
          </w:p>
          <w:p w14:paraId="51B71349">
            <w:pPr>
              <w:numPr>
                <w:ilvl w:val="0"/>
                <w:numId w:val="11"/>
              </w:numPr>
              <w:spacing w:before="120" w:after="120"/>
            </w:pPr>
            <w:r>
              <w:t>Improve consumer information</w:t>
            </w:r>
          </w:p>
          <w:p w14:paraId="50477FEA">
            <w:pPr>
              <w:spacing w:before="120" w:after="120"/>
            </w:pPr>
            <w:r>
              <w:t>Our labelling proposals will ensure that consumers are presented with clear and relevant information on energy efficiency, repairability and resource efficiency, enabling them to make informed purchasing decisions and encouraging them towards the most efficient products available on the market. ; Consumer information, labelling; Protection of the environment; Reducing trade barriers and facilitating trade</w:t>
            </w:r>
          </w:p>
        </w:tc>
      </w:tr>
      <w:tr w14:paraId="54A5681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1C37D7C">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3B1EFB7">
            <w:pPr>
              <w:spacing w:before="120" w:after="120"/>
              <w:rPr>
                <w:bCs/>
              </w:rPr>
            </w:pPr>
            <w:r>
              <w:rPr>
                <w:b/>
              </w:rPr>
              <w:t>Relevant documents:</w:t>
            </w:r>
            <w:r>
              <w:t xml:space="preserve"> </w:t>
            </w:r>
          </w:p>
          <w:p w14:paraId="13CE89CB">
            <w:pPr>
              <w:spacing w:before="120" w:after="120"/>
            </w:pPr>
            <w:r>
              <w:t>Link to the consultation page, draft SI and Options Paper can be found:</w:t>
            </w:r>
          </w:p>
          <w:p w14:paraId="72AB7A1B">
            <w:pPr>
              <w:spacing w:before="120" w:after="120"/>
            </w:pPr>
            <w:r>
              <w:fldChar w:fldCharType="begin"/>
            </w:r>
            <w:r>
              <w:instrText xml:space="preserve"> HYPERLINK "https://www.gov.uk/government/consultations/raising-product-standards-for-household-tumble-dryers" </w:instrText>
            </w:r>
            <w:r>
              <w:fldChar w:fldCharType="separate"/>
            </w:r>
            <w:r>
              <w:rPr>
                <w:color w:val="0000FF"/>
                <w:u w:val="single"/>
              </w:rPr>
              <w:t>https://www.gov.uk/government/consultations/raising-product-standards-for-household-tumble-dryers</w:t>
            </w:r>
            <w:r>
              <w:rPr>
                <w:color w:val="0000FF"/>
                <w:u w:val="single"/>
              </w:rPr>
              <w:fldChar w:fldCharType="end"/>
            </w:r>
          </w:p>
        </w:tc>
      </w:tr>
      <w:tr w14:paraId="4A42DBB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6897595A">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114BBC79">
            <w:pPr>
              <w:spacing w:before="120" w:after="120"/>
            </w:pPr>
            <w:r>
              <w:rPr>
                <w:b/>
              </w:rPr>
              <w:t>Proposed date of adoption:</w:t>
            </w:r>
            <w:r>
              <w:t xml:space="preserve"> Late Autumn 2025</w:t>
            </w:r>
          </w:p>
          <w:p w14:paraId="60BAD9F6">
            <w:pPr>
              <w:spacing w:after="120"/>
            </w:pPr>
            <w:r>
              <w:rPr>
                <w:b/>
              </w:rPr>
              <w:t>Proposed date of entry into force:</w:t>
            </w:r>
            <w:r>
              <w:t xml:space="preserve"> Spring 2026 (eco-design)</w:t>
            </w:r>
          </w:p>
          <w:p w14:paraId="056816D7">
            <w:pPr>
              <w:spacing w:after="120"/>
            </w:pPr>
            <w:r>
              <w:t>Autumn 2026 (energy labelling)</w:t>
            </w:r>
          </w:p>
        </w:tc>
      </w:tr>
      <w:tr w14:paraId="3CC76FB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1F46B1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729A9017">
            <w:pPr>
              <w:tabs>
                <w:tab w:val="left" w:pos="1418"/>
                <w:tab w:val="left" w:pos="2127"/>
                <w:tab w:val="left" w:pos="2835"/>
                <w:tab w:val="left" w:pos="3402"/>
              </w:tabs>
              <w:spacing w:before="120" w:after="120"/>
              <w:rPr>
                <w:rFonts w:hint="eastAsia" w:eastAsia="宋体"/>
                <w:b/>
                <w:bCs/>
                <w:lang w:eastAsia="zh-CN"/>
              </w:rPr>
            </w:pPr>
            <w:r>
              <w:rPr>
                <w:b/>
              </w:rPr>
              <w:t>Final date for comments:</w:t>
            </w:r>
            <w:r>
              <w:t xml:space="preserve"> 16 September 2025</w:t>
            </w:r>
            <w:r>
              <w:rPr>
                <w:rFonts w:hint="eastAsia" w:eastAsia="宋体"/>
                <w:lang w:eastAsia="zh-CN"/>
              </w:rPr>
              <w:t>，</w:t>
            </w:r>
            <w:r>
              <w:rPr>
                <w:b/>
                <w:bCs/>
              </w:rPr>
              <w:t>[X] 60 days from notification</w:t>
            </w:r>
            <w:r>
              <w:t xml:space="preserve"> </w:t>
            </w:r>
            <w:r>
              <w:rPr>
                <w:rFonts w:hint="eastAsia" w:eastAsia="宋体"/>
                <w:lang w:eastAsia="zh-CN"/>
              </w:rPr>
              <w:t>，</w:t>
            </w:r>
          </w:p>
          <w:p w14:paraId="64D8C5FA">
            <w:pPr>
              <w:spacing w:before="120" w:after="120"/>
            </w:pPr>
            <w:r>
              <w:rPr>
                <w:b/>
                <w:bCs/>
              </w:rPr>
              <w:t>Contact details of agency or authority designated to handle comments regarding the notification:</w:t>
            </w:r>
            <w:r>
              <w:t xml:space="preserve"> </w:t>
            </w:r>
          </w:p>
          <w:p w14:paraId="6B3001A7">
            <w:r>
              <w:t>UK TBT Enquiry Point</w:t>
            </w:r>
          </w:p>
          <w:p w14:paraId="2BBC4AD9">
            <w:r>
              <w:t>Trade Group, Department for Business and Trade</w:t>
            </w:r>
          </w:p>
          <w:p w14:paraId="71901EF3">
            <w:r>
              <w:t>Old Admiralty Building, London, SW1A 2DY</w:t>
            </w:r>
          </w:p>
          <w:p w14:paraId="765C4CCF">
            <w:pPr>
              <w:spacing w:before="120" w:after="120"/>
              <w:rPr>
                <w:rFonts w:hint="eastAsia" w:eastAsia="宋体"/>
                <w:lang w:eastAsia="zh-CN"/>
              </w:rPr>
            </w:pPr>
            <w:r>
              <w:fldChar w:fldCharType="begin"/>
            </w:r>
            <w:r>
              <w:instrText xml:space="preserve"> HYPERLINK "mailto:tbtenquiriesuk@businessandtrade.gov.uk" </w:instrText>
            </w:r>
            <w:r>
              <w:fldChar w:fldCharType="separate"/>
            </w:r>
            <w:r>
              <w:rPr>
                <w:color w:val="0000FF"/>
                <w:u w:val="single"/>
              </w:rPr>
              <w:t>tbtenquiriesuk@businessandtrade.gov.uk</w:t>
            </w:r>
            <w:r>
              <w:rPr>
                <w:color w:val="0000FF"/>
                <w:u w:val="single"/>
              </w:rPr>
              <w:fldChar w:fldCharType="end"/>
            </w:r>
          </w:p>
        </w:tc>
      </w:tr>
      <w:tr w14:paraId="15DD139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A14D289">
            <w:pPr>
              <w:keepNext/>
              <w:keepLines/>
              <w:spacing w:before="120" w:after="120"/>
              <w:jc w:val="left"/>
              <w:rPr>
                <w:b/>
              </w:rPr>
            </w:pPr>
            <w:r>
              <w:rPr>
                <w:b/>
              </w:rPr>
              <w:t>11.</w:t>
            </w:r>
          </w:p>
        </w:tc>
        <w:tc>
          <w:tcPr>
            <w:tcW w:w="8546" w:type="dxa"/>
            <w:tcBorders>
              <w:top w:val="single" w:color="auto" w:sz="6" w:space="0"/>
            </w:tcBorders>
            <w:shd w:val="clear" w:color="auto" w:fill="auto"/>
          </w:tcPr>
          <w:p w14:paraId="1BDDA791">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53918A0B">
            <w:pPr>
              <w:rPr>
                <w:iCs/>
              </w:rPr>
            </w:pPr>
            <w:r>
              <w:rPr>
                <w:iCs/>
              </w:rPr>
              <w:t>Link to the consultation page:</w:t>
            </w:r>
          </w:p>
          <w:p w14:paraId="1169A49C">
            <w:pPr>
              <w:rPr>
                <w:iCs/>
              </w:rPr>
            </w:pPr>
            <w:r>
              <w:fldChar w:fldCharType="begin"/>
            </w:r>
            <w:r>
              <w:instrText xml:space="preserve"> HYPERLINK "https://www.gov.uk/government/consultations/raising-product-standards-for-household-tumble-dryers" \t "_blank" </w:instrText>
            </w:r>
            <w:r>
              <w:fldChar w:fldCharType="separate"/>
            </w:r>
            <w:r>
              <w:rPr>
                <w:iCs/>
                <w:color w:val="0000FF"/>
                <w:u w:val="single"/>
              </w:rPr>
              <w:t>https://www.gov.uk/government/consultations/raising-product-standards-for-household-tumble-dryers</w:t>
            </w:r>
            <w:r>
              <w:rPr>
                <w:iCs/>
                <w:color w:val="0000FF"/>
                <w:u w:val="single"/>
              </w:rPr>
              <w:fldChar w:fldCharType="end"/>
            </w:r>
          </w:p>
          <w:p w14:paraId="1CDCBBA2">
            <w:pPr>
              <w:rPr>
                <w:iCs/>
              </w:rPr>
            </w:pPr>
            <w:r>
              <w:rPr>
                <w:iCs/>
              </w:rPr>
              <w:t>UK TBT Enquiry Point</w:t>
            </w:r>
          </w:p>
          <w:p w14:paraId="5B16E9DA">
            <w:pPr>
              <w:rPr>
                <w:iCs/>
              </w:rPr>
            </w:pPr>
            <w:r>
              <w:rPr>
                <w:iCs/>
              </w:rPr>
              <w:t>Trade Group, Department for Business and Trade</w:t>
            </w:r>
          </w:p>
          <w:p w14:paraId="19162C49">
            <w:pPr>
              <w:rPr>
                <w:iCs/>
              </w:rPr>
            </w:pPr>
            <w:r>
              <w:rPr>
                <w:iCs/>
              </w:rPr>
              <w:t>Old Admiralty Building, London, SW1A 2DY</w:t>
            </w:r>
          </w:p>
          <w:p w14:paraId="6470880F">
            <w:pPr>
              <w:keepNext/>
              <w:keepLines/>
              <w:pBdr>
                <w:top w:val="none" w:color="auto" w:sz="0" w:space="4"/>
              </w:pBdr>
              <w:spacing w:after="120"/>
              <w:rPr>
                <w:iCs/>
                <w:color w:val="0000FF"/>
                <w:u w:val="single"/>
              </w:rPr>
            </w:pPr>
            <w:r>
              <w:fldChar w:fldCharType="begin"/>
            </w:r>
            <w:r>
              <w:instrText xml:space="preserve"> HYPERLINK "mailto:tbtenquiriesuk@businessandtrade.gov.uk" </w:instrText>
            </w:r>
            <w:r>
              <w:fldChar w:fldCharType="separate"/>
            </w:r>
            <w:r>
              <w:rPr>
                <w:iCs/>
                <w:color w:val="0000FF"/>
                <w:u w:val="single"/>
              </w:rPr>
              <w:t>tbtenquiriesuk@businessandtrade.gov.uk</w:t>
            </w:r>
            <w:r>
              <w:rPr>
                <w:iCs/>
                <w:color w:val="0000FF"/>
                <w:u w:val="single"/>
              </w:rPr>
              <w:fldChar w:fldCharType="end"/>
            </w:r>
          </w:p>
          <w:p w14:paraId="6AC6A26C">
            <w:pPr>
              <w:keepNext/>
              <w:keepLines/>
              <w:pBdr>
                <w:top w:val="none" w:color="auto" w:sz="0" w:space="4"/>
              </w:pBdr>
              <w:spacing w:after="120"/>
              <w:rPr>
                <w:iCs/>
                <w:color w:val="0000FF"/>
                <w:u w:val="single"/>
              </w:rPr>
            </w:pPr>
          </w:p>
          <w:p w14:paraId="7ACDA104">
            <w:pPr>
              <w:pBdr>
                <w:top w:val="none" w:color="auto" w:sz="0" w:space="4"/>
              </w:pBdr>
              <w:rPr>
                <w:iCs/>
              </w:rPr>
            </w:pPr>
            <w:r>
              <w:fldChar w:fldCharType="begin"/>
            </w:r>
            <w:r>
              <w:instrText xml:space="preserve"> HYPERLINK "https://members.wto.org/crnattachments/2025/TBT/GBR/25_04675_00_e.pdf" \t "_blank" </w:instrText>
            </w:r>
            <w:r>
              <w:fldChar w:fldCharType="separate"/>
            </w:r>
            <w:r>
              <w:rPr>
                <w:iCs/>
                <w:color w:val="0000FF"/>
                <w:u w:val="single"/>
              </w:rPr>
              <w:t>https://members.wto.org/crnattachments/2025/TBT/GBR/25_04675_00_e.pdf</w:t>
            </w:r>
            <w:r>
              <w:rPr>
                <w:iCs/>
                <w:color w:val="0000FF"/>
                <w:u w:val="single"/>
              </w:rPr>
              <w:fldChar w:fldCharType="end"/>
            </w:r>
          </w:p>
          <w:p w14:paraId="1012613A">
            <w:pPr>
              <w:pBdr>
                <w:bottom w:val="none" w:color="auto" w:sz="0" w:space="4"/>
              </w:pBdr>
              <w:rPr>
                <w:iCs/>
              </w:rPr>
            </w:pPr>
            <w:r>
              <w:fldChar w:fldCharType="begin"/>
            </w:r>
            <w:r>
              <w:instrText xml:space="preserve"> HYPERLINK "https://members.wto.org/crnattachments/2025/TBT/GBR/25_04675_01_e.pdf" \t "_blank" </w:instrText>
            </w:r>
            <w:r>
              <w:fldChar w:fldCharType="separate"/>
            </w:r>
            <w:r>
              <w:rPr>
                <w:iCs/>
                <w:color w:val="0000FF"/>
                <w:u w:val="single"/>
              </w:rPr>
              <w:t>https://members.wto.org/crnattachments/2025/TBT/GBR/25_04675_01_e.pdf</w:t>
            </w:r>
            <w:r>
              <w:rPr>
                <w:iCs/>
                <w:color w:val="0000FF"/>
                <w:u w:val="single"/>
              </w:rPr>
              <w:fldChar w:fldCharType="end"/>
            </w:r>
          </w:p>
          <w:p w14:paraId="5E00EDCD">
            <w:pPr>
              <w:keepNext/>
              <w:keepLines/>
              <w:pBdr>
                <w:top w:val="none" w:color="auto" w:sz="0" w:space="4"/>
              </w:pBdr>
              <w:spacing w:after="120"/>
              <w:rPr>
                <w:iCs/>
                <w:color w:val="0000FF"/>
                <w:u w:val="single"/>
              </w:rPr>
            </w:pPr>
          </w:p>
        </w:tc>
      </w:tr>
    </w:tbl>
    <w:p w14:paraId="5D45F7C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F195">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6D880">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EB21F">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75912">
    <w:pPr>
      <w:pStyle w:val="58"/>
      <w:pBdr>
        <w:bottom w:val="single" w:color="auto" w:sz="4" w:space="1"/>
      </w:pBdr>
      <w:tabs>
        <w:tab w:val="clear" w:pos="4513"/>
        <w:tab w:val="clear" w:pos="9027"/>
      </w:tabs>
      <w:jc w:val="center"/>
    </w:pPr>
    <w:bookmarkStart w:id="0" w:name="spsSymbolHeader"/>
    <w:r>
      <w:t>G/TBT/N/GBR/102</w:t>
    </w:r>
    <w:bookmarkEnd w:id="0"/>
  </w:p>
  <w:p w14:paraId="2030EC78">
    <w:pPr>
      <w:pStyle w:val="58"/>
      <w:pBdr>
        <w:bottom w:val="single" w:color="auto" w:sz="4" w:space="1"/>
      </w:pBdr>
      <w:tabs>
        <w:tab w:val="clear" w:pos="4513"/>
        <w:tab w:val="clear" w:pos="9027"/>
      </w:tabs>
      <w:jc w:val="center"/>
    </w:pPr>
  </w:p>
  <w:p w14:paraId="0FEC84C6">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FAE56D9">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A7A4C">
    <w:pPr>
      <w:pStyle w:val="58"/>
      <w:pBdr>
        <w:bottom w:val="single" w:color="auto" w:sz="4" w:space="1"/>
      </w:pBdr>
      <w:tabs>
        <w:tab w:val="clear" w:pos="4513"/>
        <w:tab w:val="clear" w:pos="9027"/>
      </w:tabs>
      <w:jc w:val="center"/>
    </w:pPr>
    <w:r>
      <w:t>tbtSymbol</w:t>
    </w:r>
  </w:p>
  <w:p w14:paraId="0912B37E">
    <w:pPr>
      <w:pStyle w:val="58"/>
      <w:pBdr>
        <w:bottom w:val="single" w:color="auto" w:sz="4" w:space="1"/>
      </w:pBdr>
      <w:tabs>
        <w:tab w:val="clear" w:pos="4513"/>
        <w:tab w:val="clear" w:pos="9027"/>
      </w:tabs>
      <w:jc w:val="center"/>
    </w:pPr>
  </w:p>
  <w:p w14:paraId="2D7CA23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21690A94">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48E64388">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A603482">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77CB2F66">
          <w:pPr>
            <w:jc w:val="right"/>
            <w:rPr>
              <w:b/>
              <w:color w:val="FF0000"/>
              <w:szCs w:val="16"/>
            </w:rPr>
          </w:pPr>
        </w:p>
      </w:tc>
    </w:tr>
    <w:bookmarkEnd w:id="1"/>
    <w:tr w14:paraId="0B0D9FD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B98C6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1D4C16A6">
          <w:pPr>
            <w:jc w:val="right"/>
            <w:rPr>
              <w:b/>
              <w:szCs w:val="16"/>
            </w:rPr>
          </w:pPr>
        </w:p>
      </w:tc>
    </w:tr>
    <w:tr w14:paraId="1B383A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4BADF04">
          <w:pPr>
            <w:jc w:val="left"/>
            <w:rPr>
              <w:lang w:eastAsia="en-GB"/>
            </w:rPr>
          </w:pPr>
        </w:p>
      </w:tc>
      <w:tc>
        <w:tcPr>
          <w:tcW w:w="5448" w:type="dxa"/>
          <w:gridSpan w:val="2"/>
          <w:shd w:val="clear" w:color="auto" w:fill="FFFFFF"/>
          <w:tcMar>
            <w:left w:w="108" w:type="dxa"/>
            <w:right w:w="108" w:type="dxa"/>
          </w:tcMar>
        </w:tcPr>
        <w:p w14:paraId="300A6E5A">
          <w:pPr>
            <w:jc w:val="right"/>
            <w:rPr>
              <w:rFonts w:hint="eastAsia" w:eastAsia="宋体"/>
              <w:b/>
              <w:szCs w:val="16"/>
              <w:lang w:eastAsia="zh-CN"/>
            </w:rPr>
          </w:pPr>
          <w:bookmarkStart w:id="2" w:name="bmkSymbols"/>
          <w:r>
            <w:rPr>
              <w:b/>
              <w:szCs w:val="16"/>
            </w:rPr>
            <w:t>G/TBT/N/GBR/10</w:t>
          </w:r>
          <w:bookmarkEnd w:id="2"/>
          <w:r>
            <w:rPr>
              <w:rFonts w:hint="eastAsia" w:eastAsia="宋体"/>
              <w:b/>
              <w:szCs w:val="16"/>
              <w:lang w:val="en-US" w:eastAsia="zh-CN"/>
            </w:rPr>
            <w:t>3</w:t>
          </w:r>
        </w:p>
      </w:tc>
    </w:tr>
    <w:tr w14:paraId="46BDE1D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72DF459"/>
      </w:tc>
      <w:tc>
        <w:tcPr>
          <w:tcW w:w="5448" w:type="dxa"/>
          <w:gridSpan w:val="2"/>
          <w:shd w:val="clear" w:color="auto" w:fill="FFFFFF"/>
          <w:tcMar>
            <w:left w:w="108" w:type="dxa"/>
            <w:right w:w="108" w:type="dxa"/>
          </w:tcMar>
          <w:vAlign w:val="center"/>
        </w:tcPr>
        <w:p w14:paraId="1903ED93">
          <w:pPr>
            <w:jc w:val="right"/>
            <w:rPr>
              <w:szCs w:val="16"/>
            </w:rPr>
          </w:pPr>
          <w:bookmarkStart w:id="3" w:name="bmkDate"/>
          <w:bookmarkStart w:id="4" w:name="spsDateDistribution"/>
          <w:r>
            <w:rPr>
              <w:szCs w:val="16"/>
            </w:rPr>
            <w:t>18 July 2025</w:t>
          </w:r>
          <w:bookmarkEnd w:id="3"/>
          <w:bookmarkEnd w:id="4"/>
        </w:p>
      </w:tc>
    </w:tr>
    <w:tr w14:paraId="194F6CC9">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7D8CD85A">
          <w:pPr>
            <w:jc w:val="left"/>
            <w:rPr>
              <w:b/>
            </w:rPr>
          </w:pPr>
          <w:bookmarkStart w:id="5" w:name="bmkSerial"/>
          <w:r>
            <w:rPr>
              <w:b w:val="0"/>
              <w:color w:val="FF0000"/>
            </w:rPr>
            <w:t>(25-</w:t>
          </w:r>
          <w:r>
            <w:rPr>
              <w:rFonts w:hint="eastAsia" w:eastAsia="宋体"/>
              <w:b w:val="0"/>
              <w:color w:val="FF0000"/>
              <w:lang w:val="en-US" w:eastAsia="zh-CN"/>
            </w:rPr>
            <w:t>4636</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1F54F533">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rFonts w:hint="eastAsia" w:eastAsia="宋体"/>
              <w:bCs/>
              <w:szCs w:val="16"/>
              <w:lang w:val="en-US" w:eastAsia="zh-CN"/>
            </w:rPr>
            <w:t>2</w:t>
          </w:r>
          <w:bookmarkEnd w:id="6"/>
        </w:p>
      </w:tc>
    </w:tr>
    <w:tr w14:paraId="20C87627">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170D2AE5">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6F335ECB">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456978EE">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C"/>
    <w:multiLevelType w:val="multilevel"/>
    <w:tmpl w:val="63D526BC"/>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7">
    <w:nsid w:val="63D526BD"/>
    <w:multiLevelType w:val="multilevel"/>
    <w:tmpl w:val="63D526BD"/>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63D526BE"/>
    <w:multiLevelType w:val="multilevel"/>
    <w:tmpl w:val="63D526BE"/>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9">
    <w:nsid w:val="63D526BF"/>
    <w:multiLevelType w:val="multilevel"/>
    <w:tmpl w:val="63D526BF"/>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abstractNum w:abstractNumId="10">
    <w:nsid w:val="63D526C0"/>
    <w:multiLevelType w:val="multilevel"/>
    <w:tmpl w:val="63D526C0"/>
    <w:lvl w:ilvl="0" w:tentative="0">
      <w:start w:val="1"/>
      <w:numFmt w:val="bullet"/>
      <w:lvlText w:val=""/>
      <w:lvlJc w:val="left"/>
      <w:pPr>
        <w:ind w:left="720" w:hanging="360"/>
      </w:pPr>
      <w:rPr>
        <w:rFonts w:ascii="Symbol" w:hAnsi="Symbol"/>
      </w:rPr>
    </w:lvl>
    <w:lvl w:ilvl="1" w:tentative="0">
      <w:start w:val="1"/>
      <w:numFmt w:val="bullet"/>
      <w:lvlText w:val="o"/>
      <w:lvlJc w:val="left"/>
      <w:pPr>
        <w:tabs>
          <w:tab w:val="left" w:pos="1440"/>
        </w:tabs>
        <w:ind w:left="1440" w:hanging="360"/>
      </w:pPr>
      <w:rPr>
        <w:rFonts w:ascii="Courier New" w:hAnsi="Courier New"/>
      </w:rPr>
    </w:lvl>
    <w:lvl w:ilvl="2" w:tentative="0">
      <w:start w:val="1"/>
      <w:numFmt w:val="bullet"/>
      <w:lvlText w:val=""/>
      <w:lvlJc w:val="left"/>
      <w:pPr>
        <w:tabs>
          <w:tab w:val="left" w:pos="2160"/>
        </w:tabs>
        <w:ind w:left="2160" w:hanging="360"/>
      </w:pPr>
      <w:rPr>
        <w:rFonts w:ascii="Wingdings" w:hAnsi="Wingdings"/>
      </w:rPr>
    </w:lvl>
    <w:lvl w:ilvl="3" w:tentative="0">
      <w:start w:val="1"/>
      <w:numFmt w:val="bullet"/>
      <w:lvlText w:val=""/>
      <w:lvlJc w:val="left"/>
      <w:pPr>
        <w:tabs>
          <w:tab w:val="left" w:pos="2880"/>
        </w:tabs>
        <w:ind w:left="2880" w:hanging="360"/>
      </w:pPr>
      <w:rPr>
        <w:rFonts w:ascii="Symbol" w:hAnsi="Symbol"/>
      </w:rPr>
    </w:lvl>
    <w:lvl w:ilvl="4" w:tentative="0">
      <w:start w:val="1"/>
      <w:numFmt w:val="bullet"/>
      <w:lvlText w:val="o"/>
      <w:lvlJc w:val="left"/>
      <w:pPr>
        <w:tabs>
          <w:tab w:val="left" w:pos="3600"/>
        </w:tabs>
        <w:ind w:left="3600" w:hanging="360"/>
      </w:pPr>
      <w:rPr>
        <w:rFonts w:ascii="Courier New" w:hAnsi="Courier New"/>
      </w:rPr>
    </w:lvl>
    <w:lvl w:ilvl="5" w:tentative="0">
      <w:start w:val="1"/>
      <w:numFmt w:val="bullet"/>
      <w:lvlText w:val=""/>
      <w:lvlJc w:val="left"/>
      <w:pPr>
        <w:tabs>
          <w:tab w:val="left" w:pos="4320"/>
        </w:tabs>
        <w:ind w:left="4320" w:hanging="360"/>
      </w:pPr>
      <w:rPr>
        <w:rFonts w:ascii="Wingdings" w:hAnsi="Wingdings"/>
      </w:rPr>
    </w:lvl>
    <w:lvl w:ilvl="6" w:tentative="0">
      <w:start w:val="1"/>
      <w:numFmt w:val="bullet"/>
      <w:lvlText w:val=""/>
      <w:lvlJc w:val="left"/>
      <w:pPr>
        <w:tabs>
          <w:tab w:val="left" w:pos="5040"/>
        </w:tabs>
        <w:ind w:left="5040" w:hanging="360"/>
      </w:pPr>
      <w:rPr>
        <w:rFonts w:ascii="Symbol" w:hAnsi="Symbol"/>
      </w:rPr>
    </w:lvl>
    <w:lvl w:ilvl="7" w:tentative="0">
      <w:start w:val="1"/>
      <w:numFmt w:val="bullet"/>
      <w:lvlText w:val="o"/>
      <w:lvlJc w:val="left"/>
      <w:pPr>
        <w:tabs>
          <w:tab w:val="left" w:pos="5760"/>
        </w:tabs>
        <w:ind w:left="5760" w:hanging="360"/>
      </w:pPr>
      <w:rPr>
        <w:rFonts w:ascii="Courier New" w:hAnsi="Courier New"/>
      </w:rPr>
    </w:lvl>
    <w:lvl w:ilvl="8" w:tentative="0">
      <w:start w:val="1"/>
      <w:numFmt w:val="bullet"/>
      <w:lvlText w:val=""/>
      <w:lvlJc w:val="left"/>
      <w:pPr>
        <w:tabs>
          <w:tab w:val="left" w:pos="6480"/>
        </w:tabs>
        <w:ind w:left="6480" w:hanging="360"/>
      </w:pPr>
      <w:rPr>
        <w:rFonts w:ascii="Wingdings" w:hAnsi="Wingdings"/>
      </w:rPr>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27897"/>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154F6"/>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91488"/>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2A87"/>
    <w:rsid w:val="00AD3A28"/>
    <w:rsid w:val="00AD4C72"/>
    <w:rsid w:val="00AE118B"/>
    <w:rsid w:val="00AE2372"/>
    <w:rsid w:val="00AE2AEE"/>
    <w:rsid w:val="00AE6CC8"/>
    <w:rsid w:val="00AF3330"/>
    <w:rsid w:val="00B00276"/>
    <w:rsid w:val="00B10F9E"/>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A70E6"/>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8F92FAD"/>
    <w:rsid w:val="3A574B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unhideWhenUsed="0" w:uiPriority="39" w:semiHidden="0" w:name="toc 8"/>
    <w:lsdException w:qFormat="1" w:unhideWhenUsed="0" w:uiPriority="39" w:semiHidden="0" w:name="toc 9"/>
    <w:lsdException w:qFormat="1" w:uiPriority="99" w:name="Normal Indent"/>
    <w:lsdException w:unhideWhenUsed="0" w:uiPriority="5" w:semiHidden="0" w:name="footnote text"/>
    <w:lsdException w:qFormat="1" w:uiPriority="99" w:semiHidden="0" w:name="annotation text"/>
    <w:lsdException w:unhideWhenUsed="0" w:uiPriority="3" w:semiHidden="0" w:name="header"/>
    <w:lsdException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unhideWhenUsed="0" w:uiPriority="5" w:semiHidden="0" w:name="footnote reference"/>
    <w:lsdException w:qFormat="1" w:uiPriority="99" w:name="annotation reference"/>
    <w:lsdException w:qFormat="1" w:uiPriority="99" w:name="line number"/>
    <w:lsdException w:qFormat="1"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qFormat="1"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uiPriority w:val="2"/>
    <w:rPr>
      <w:rFonts w:ascii="Verdana" w:hAnsi="Verdana" w:eastAsia="Times New Roman"/>
      <w:b/>
      <w:bCs/>
      <w:caps/>
      <w:color w:val="006283"/>
      <w:sz w:val="18"/>
      <w:szCs w:val="28"/>
      <w:lang w:val="en-GB"/>
    </w:rPr>
  </w:style>
  <w:style w:type="character" w:customStyle="1" w:styleId="250">
    <w:name w:val="Titre 2 Car"/>
    <w:link w:val="4"/>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uiPriority w:val="2"/>
    <w:rPr>
      <w:rFonts w:ascii="Verdana" w:hAnsi="Verdana" w:eastAsia="Times New Roman"/>
      <w:b/>
      <w:color w:val="006283"/>
      <w:sz w:val="18"/>
      <w:szCs w:val="22"/>
      <w:lang w:val="en-GB"/>
    </w:rPr>
  </w:style>
  <w:style w:type="character" w:customStyle="1" w:styleId="254">
    <w:name w:val="Titre 6 Car"/>
    <w:link w:val="8"/>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uiPriority w:val="5"/>
    <w:rPr>
      <w:rFonts w:ascii="Verdana" w:hAnsi="Verdana" w:eastAsia="Times New Roman"/>
      <w:b/>
      <w:caps/>
      <w:color w:val="006283"/>
      <w:kern w:val="28"/>
      <w:sz w:val="18"/>
      <w:szCs w:val="52"/>
      <w:lang w:val="en-GB"/>
    </w:rPr>
  </w:style>
  <w:style w:type="character" w:customStyle="1" w:styleId="259">
    <w:name w:val="Corps de texte Car"/>
    <w:link w:val="9"/>
    <w:uiPriority w:val="1"/>
    <w:rPr>
      <w:rFonts w:ascii="Verdana" w:hAnsi="Verdana"/>
      <w:sz w:val="18"/>
      <w:szCs w:val="22"/>
      <w:lang w:val="en-GB"/>
    </w:rPr>
  </w:style>
  <w:style w:type="character" w:customStyle="1" w:styleId="260">
    <w:name w:val="Corps de texte 2 Car"/>
    <w:link w:val="76"/>
    <w:uiPriority w:val="1"/>
    <w:rPr>
      <w:rFonts w:ascii="Verdana" w:hAnsi="Verdana"/>
      <w:sz w:val="18"/>
      <w:szCs w:val="22"/>
      <w:lang w:val="en-GB"/>
    </w:rPr>
  </w:style>
  <w:style w:type="character" w:customStyle="1" w:styleId="261">
    <w:name w:val="Corps de texte 3 Car"/>
    <w:link w:val="32"/>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uiPriority w:val="6"/>
    <w:rPr>
      <w:rFonts w:ascii="Verdana" w:hAnsi="Verdana"/>
      <w:sz w:val="18"/>
      <w:szCs w:val="22"/>
      <w:lang w:val="en-GB"/>
    </w:rPr>
  </w:style>
  <w:style w:type="character" w:customStyle="1" w:styleId="264">
    <w:name w:val="Note de bas de page Car"/>
    <w:link w:val="53"/>
    <w:uiPriority w:val="5"/>
    <w:rPr>
      <w:rFonts w:ascii="Verdana" w:hAnsi="Verdana"/>
      <w:sz w:val="16"/>
      <w:szCs w:val="18"/>
      <w:lang w:val="en-GB" w:eastAsia="en-GB"/>
    </w:rPr>
  </w:style>
  <w:style w:type="character" w:customStyle="1" w:styleId="265">
    <w:name w:val="Note de fin C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Pied de page Car"/>
    <w:link w:val="56"/>
    <w:uiPriority w:val="3"/>
    <w:rPr>
      <w:rFonts w:ascii="Verdana" w:hAnsi="Verdana"/>
      <w:sz w:val="18"/>
      <w:szCs w:val="18"/>
      <w:lang w:val="en-GB" w:eastAsia="en-GB"/>
    </w:rPr>
  </w:style>
  <w:style w:type="paragraph" w:customStyle="1" w:styleId="269">
    <w:name w:val="Footnote Quotation"/>
    <w:basedOn w:val="53"/>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3</Pages>
  <Words>443</Words>
  <Characters>2612</Characters>
  <Lines>24</Lines>
  <Paragraphs>6</Paragraphs>
  <TotalTime>0</TotalTime>
  <ScaleCrop>false</ScaleCrop>
  <LinksUpToDate>false</LinksUpToDate>
  <CharactersWithSpaces>3014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2025-05-07T15:10:00Z</dcterms:created>
  <dc:creator>mark louie medidas</dc:creator>
  <dc:description>LDIMD - DTU</dc:description>
  <cp:lastModifiedBy> 譞譞</cp:lastModifiedBy>
  <dcterms:modified xsi:type="dcterms:W3CDTF">2025-07-18T14:51:10Z</dcterms:modified>
  <dc:title>NOTIFICATION</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6AB83C09A49346348963D691E4AD505E_12</vt:lpwstr>
  </property>
</Properties>
</file>