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1B284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4E3A69C3">
      <w:pPr>
        <w:jc w:val="center"/>
      </w:pPr>
      <w:r>
        <w:t>Se da traslado de la notificación siguiente de conformidad con el artículo 10.6.</w:t>
      </w:r>
    </w:p>
    <w:p w14:paraId="31F848C4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4E6095E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1D0C4266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7A5C098F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CHILE</w:t>
            </w:r>
          </w:p>
          <w:p w14:paraId="37E7B03B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5357909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A62DFC2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2EFB74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25C1EB8A">
            <w:pPr>
              <w:spacing w:after="120"/>
            </w:pPr>
            <w:r>
              <w:t>Ministerio de Salud</w:t>
            </w:r>
          </w:p>
          <w:p w14:paraId="4A1CF10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010F3B9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15355D6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510D02D">
            <w:pPr>
              <w:spacing w:before="120" w:after="120"/>
            </w:pPr>
            <w:r>
              <w:rPr>
                <w:b/>
              </w:rPr>
              <w:t>Notificación hecha en virtud del artículo 2.9.2 [X], 2.10.1 [ ], 5.6.2 [], 5.7.1 [ ], 3.2 [ ], 7.2 [ ], o en virtud de:</w:t>
            </w:r>
            <w:r>
              <w:t xml:space="preserve"> </w:t>
            </w:r>
          </w:p>
        </w:tc>
      </w:tr>
      <w:tr w14:paraId="68A3B48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6E099D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873AC3E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Alimentos nuevos</w:t>
            </w:r>
          </w:p>
        </w:tc>
      </w:tr>
      <w:tr w14:paraId="367F4C1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511EAB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86568A9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Propuesta de Norma Técnica para la Evaluación e Incorporación a Nómina de Alimentos Nuevos para Consumo Humano en Chile; (7 página(s), en español)</w:t>
            </w:r>
          </w:p>
          <w:p w14:paraId="1D5AFFC1">
            <w:pPr>
              <w:spacing w:before="120" w:after="120"/>
            </w:pPr>
          </w:p>
        </w:tc>
      </w:tr>
      <w:tr w14:paraId="1DD0CB4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C97B3A0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1E80041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La presente norma se aplica a todos los alimentos, ingredientes y materias alimentarias nuevas, conforme a lo establecido en el artículo 3° del Reglamento Sanitario de los Alimentos (RSA) y la definición contenida en el artículo 106, numeral 4), que indica: 2. "Alimento, ingrediente y materia alimentaria nuevos: Aquel alimento, ingrediente y materia alimentaria obtenido a través de procesos de síntesis físico-químicos o a través de procesos que ocurren en la naturaleza, que no corresponden a moléculas o compuestos con historial de consumo humano seguro." 3. Estos alimentos deberán cumplir con los requisitos de inocuidad establecidos en el RSA (D.S. N° 977/1996), con el objetivo de contribuir a la nutrición de la población nacional. 4. Se excluyen del alcance de esta norma: - La evaluación de sustancias nuevas con efectos tecnológicos en los alimentos (aditivos alimentarios). - La evaluación de eventos biotecnológicos que modifiquen alimentos y/o materias primas. - La evaluación de propiedades saludables o terapéuticas de las sustancias.</w:t>
            </w:r>
          </w:p>
        </w:tc>
      </w:tr>
      <w:tr w14:paraId="7019366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136B16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001457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Protección de la salud o seguridad humanas</w:t>
            </w:r>
          </w:p>
        </w:tc>
      </w:tr>
      <w:tr w14:paraId="5BCBBB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249F84C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AC74976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78EA9E67">
            <w:pPr>
              <w:numPr>
                <w:ilvl w:val="0"/>
                <w:numId w:val="0"/>
              </w:numPr>
              <w:spacing w:before="120" w:after="120"/>
            </w:pPr>
            <w:r>
              <w:t>Reglamento Sanitario de los Alimentos</w:t>
            </w:r>
          </w:p>
        </w:tc>
      </w:tr>
      <w:tr w14:paraId="00B83A6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1E6B3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8197A1">
            <w:pPr>
              <w:spacing w:before="120" w:after="120"/>
              <w:rPr>
                <w:rFonts w:hint="eastAsia" w:eastAsia="宋体"/>
                <w:bCs/>
                <w:lang w:eastAsia="zh-CN"/>
              </w:rPr>
            </w:pPr>
            <w:r>
              <w:rPr>
                <w:b/>
              </w:rPr>
              <w:t>Fecha propuesta de adopción:</w:t>
            </w:r>
            <w:r>
              <w:t xml:space="preserve"> Por determinar</w:t>
            </w:r>
          </w:p>
          <w:p w14:paraId="58A30308">
            <w:pPr>
              <w:spacing w:after="120"/>
              <w:rPr>
                <w:rFonts w:hint="eastAsia" w:eastAsia="宋体"/>
                <w:b/>
                <w:lang w:eastAsia="zh-CN"/>
              </w:rPr>
            </w:pPr>
            <w:r>
              <w:rPr>
                <w:b/>
              </w:rPr>
              <w:t>Fecha propuesta de entrada en vigor:</w:t>
            </w:r>
            <w:r>
              <w:t xml:space="preserve"> Por determinar</w:t>
            </w:r>
          </w:p>
        </w:tc>
      </w:tr>
      <w:tr w14:paraId="0426CF0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6A44101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65E8BD2">
            <w:pPr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16 de septiembre de 2025</w:t>
            </w:r>
            <w:r>
              <w:rPr>
                <w:rFonts w:hint="eastAsia" w:eastAsia="宋体"/>
                <w:lang w:eastAsia="zh-CN"/>
              </w:rPr>
              <w:t>，</w:t>
            </w:r>
          </w:p>
          <w:p w14:paraId="4CCA8391">
            <w:pPr>
              <w:spacing w:before="120" w:after="120"/>
              <w:rPr>
                <w:rFonts w:hint="eastAsia" w:eastAsia="宋体"/>
                <w:b/>
                <w:lang w:eastAsia="zh-CN"/>
              </w:rPr>
            </w:pPr>
            <w:r>
              <w:rPr>
                <w:b/>
              </w:rPr>
              <w:t>[X] 60 days from notification</w:t>
            </w:r>
            <w:r>
              <w:rPr>
                <w:rFonts w:hint="eastAsia" w:eastAsia="宋体"/>
                <w:b/>
                <w:lang w:eastAsia="zh-CN"/>
              </w:rPr>
              <w:t>，</w:t>
            </w:r>
          </w:p>
          <w:p w14:paraId="0C27A594">
            <w:pPr>
              <w:spacing w:before="120" w:after="120"/>
              <w:rPr>
                <w:bCs/>
              </w:rPr>
            </w:pPr>
            <w:r>
              <w:rPr>
                <w:b/>
              </w:rPr>
              <w:t>Datos de contacto del organismo o la autoridad encargados de dar trámite a las observaciones sobre la notificación de que se trate:</w:t>
            </w:r>
            <w:r>
              <w:rPr>
                <w:bCs/>
              </w:rPr>
              <w:t xml:space="preserve"> </w:t>
            </w:r>
          </w:p>
          <w:p w14:paraId="6807DCBB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(a) In relation to Technical Regulations (Article 10.1):</w:t>
            </w:r>
          </w:p>
          <w:p w14:paraId="10ABD418">
            <w:pPr>
              <w:rPr>
                <w:bCs/>
              </w:rPr>
            </w:pPr>
            <w:r>
              <w:rPr>
                <w:bCs/>
              </w:rPr>
              <w:t>Ministerio de Relaciones Exteriores</w:t>
            </w:r>
          </w:p>
          <w:p w14:paraId="2AF44E3F">
            <w:pPr>
              <w:rPr>
                <w:bCs/>
              </w:rPr>
            </w:pPr>
            <w:r>
              <w:rPr>
                <w:bCs/>
              </w:rPr>
              <w:t>Subsecretaría de Relaciones Económicas Internacionales (SUBREI)</w:t>
            </w:r>
          </w:p>
          <w:p w14:paraId="796AA332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Contact: TBT Sub-Department</w:t>
            </w:r>
          </w:p>
          <w:p w14:paraId="0B03ACFA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Bombero Salas 1345</w:t>
            </w:r>
          </w:p>
          <w:p w14:paraId="270FB762">
            <w:pPr>
              <w:rPr>
                <w:bCs/>
              </w:rPr>
            </w:pPr>
            <w:r>
              <w:rPr>
                <w:bCs/>
              </w:rPr>
              <w:t>Piso 11</w:t>
            </w:r>
          </w:p>
          <w:p w14:paraId="20FAE5CC">
            <w:pPr>
              <w:rPr>
                <w:bCs/>
              </w:rPr>
            </w:pPr>
            <w:r>
              <w:rPr>
                <w:bCs/>
              </w:rPr>
              <w:t>Santiago</w:t>
            </w:r>
          </w:p>
          <w:p w14:paraId="544E899E">
            <w:pPr>
              <w:rPr>
                <w:bCs/>
              </w:rPr>
            </w:pPr>
            <w:r>
              <w:rPr>
                <w:bCs/>
              </w:rPr>
              <w:t>Tel: +(56 2) 2827 5250</w:t>
            </w:r>
          </w:p>
          <w:p w14:paraId="64024950">
            <w:pPr>
              <w:rPr>
                <w:bCs/>
              </w:rPr>
            </w:pPr>
            <w:r>
              <w:rPr>
                <w:bCs/>
              </w:rPr>
              <w:t>Fax: +(56 2) 380 9494</w:t>
            </w:r>
          </w:p>
          <w:p w14:paraId="46C376E0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"mailto:tbt_chile@subrei.gob.cl"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tbt_chile@subrei.gob.cl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53B45008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(b) In relation to Standards (Article 10.3):</w:t>
            </w:r>
          </w:p>
          <w:p w14:paraId="476F28E2">
            <w:pPr>
              <w:rPr>
                <w:bCs/>
              </w:rPr>
            </w:pPr>
            <w:r>
              <w:rPr>
                <w:bCs/>
              </w:rPr>
              <w:t>Instituto Nacional de Normalización</w:t>
            </w:r>
          </w:p>
          <w:p w14:paraId="0E80481C">
            <w:pPr>
              <w:rPr>
                <w:bCs/>
              </w:rPr>
            </w:pPr>
            <w:r>
              <w:rPr>
                <w:bCs/>
              </w:rPr>
              <w:t>Alameda 1449 Torre 7 Piso 16</w:t>
            </w:r>
          </w:p>
          <w:p w14:paraId="6A5B2420">
            <w:pPr>
              <w:rPr>
                <w:bCs/>
              </w:rPr>
            </w:pPr>
            <w:r>
              <w:rPr>
                <w:bCs/>
              </w:rPr>
              <w:t>Santiago</w:t>
            </w:r>
          </w:p>
          <w:p w14:paraId="4585C42E">
            <w:pPr>
              <w:rPr>
                <w:bCs/>
              </w:rPr>
            </w:pPr>
            <w:r>
              <w:rPr>
                <w:bCs/>
              </w:rPr>
              <w:t>Tel: +(56 2) 2445 8000</w:t>
            </w:r>
          </w:p>
          <w:p w14:paraId="37C3E969">
            <w:pPr>
              <w:rPr>
                <w:bCs/>
              </w:rPr>
            </w:pPr>
            <w:r>
              <w:rPr>
                <w:bCs/>
              </w:rPr>
              <w:t>Fax: +(56 2) 2441 0427</w:t>
            </w:r>
          </w:p>
          <w:p w14:paraId="0AD19C51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"mailto:info@inn.cl"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info@inn.cl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  <w:tr w14:paraId="511E7B2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5FE13448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5D9F87D8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[X],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613F0C4E">
            <w:pPr>
              <w:keepNext/>
              <w:keepLines/>
              <w:pBdr>
                <w:top w:val="none" w:color="auto" w:sz="0" w:space="4"/>
              </w:pBdr>
              <w:spacing w:after="120"/>
            </w:pPr>
            <w:bookmarkStart w:id="10" w:name="_GoBack"/>
            <w:bookmarkEnd w:id="10"/>
          </w:p>
          <w:p w14:paraId="6FAB1BA9">
            <w:pPr>
              <w:pBdr>
                <w:top w:val="none" w:color="auto" w:sz="0" w:space="4"/>
                <w:bottom w:val="none" w:color="auto" w:sz="0" w:space="4"/>
              </w:pBdr>
              <w:rPr>
                <w:bCs/>
              </w:rPr>
            </w:pPr>
            <w:r>
              <w:fldChar w:fldCharType="begin"/>
            </w:r>
            <w:r>
              <w:instrText xml:space="preserve"> HYPERLINK "https://members.wto.org/crnattachments/2025/TBT/CHL/25_04679_00_s.pdf"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https://members.wto.org/crnattachments/2025/TBT/CHL/25_04679_00_s.pdf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10D4A2AD">
            <w:pPr>
              <w:keepNext/>
              <w:keepLines/>
              <w:pBdr>
                <w:top w:val="none" w:color="auto" w:sz="0" w:space="4"/>
              </w:pBdr>
              <w:spacing w:after="120"/>
            </w:pPr>
            <w:r>
              <w:rPr>
                <w:bCs/>
                <w:color w:val="0000FF"/>
                <w:u w:val="single"/>
              </w:rPr>
              <w:t>https://www.minsal.cl/consultas-publicas-vigentes/</w:t>
            </w:r>
          </w:p>
        </w:tc>
      </w:tr>
    </w:tbl>
    <w:p w14:paraId="19684025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E1553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F9F1B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B94452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B9376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9" w:name="spsSymbolHeader"/>
    <w:r>
      <w:t>G/TBT/N/CHL/738</w:t>
    </w:r>
    <w:bookmarkEnd w:id="9"/>
  </w:p>
  <w:p w14:paraId="678F664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3536EF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32D3A90E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4900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B26AFB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462EEE0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116F069F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6D650BEA"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F96B152">
          <w:pPr>
            <w:rPr>
              <w:szCs w:val="18"/>
              <w:lang w:eastAsia="en-GB"/>
            </w:rPr>
          </w:pPr>
          <w:bookmarkStart w:id="0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1D7D85">
          <w:pPr>
            <w:jc w:val="right"/>
            <w:rPr>
              <w:b/>
              <w:color w:val="FF0000"/>
              <w:szCs w:val="18"/>
            </w:rPr>
          </w:pPr>
        </w:p>
      </w:tc>
    </w:tr>
    <w:bookmarkEnd w:id="0"/>
    <w:tr w14:paraId="04619C7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5886FD7A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DB719B2">
          <w:pPr>
            <w:jc w:val="right"/>
            <w:rPr>
              <w:b/>
              <w:szCs w:val="18"/>
            </w:rPr>
          </w:pPr>
        </w:p>
      </w:tc>
    </w:tr>
    <w:tr w14:paraId="0FC51FC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FBCD3DB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7A1842BC">
          <w:pPr>
            <w:jc w:val="right"/>
            <w:rPr>
              <w:rFonts w:hint="default" w:eastAsia="宋体"/>
              <w:b/>
              <w:szCs w:val="18"/>
              <w:lang w:val="en-US" w:eastAsia="zh-CN"/>
            </w:rPr>
          </w:pPr>
          <w:bookmarkStart w:id="1" w:name="bmkSymbols"/>
          <w:r>
            <w:rPr>
              <w:b/>
              <w:szCs w:val="18"/>
            </w:rPr>
            <w:t>G/TBT/N/CHL/7</w:t>
          </w:r>
          <w:bookmarkEnd w:id="1"/>
          <w:r>
            <w:rPr>
              <w:rFonts w:hint="eastAsia" w:eastAsia="宋体"/>
              <w:b/>
              <w:szCs w:val="18"/>
              <w:lang w:val="en-US" w:eastAsia="zh-CN"/>
            </w:rPr>
            <w:t>44</w:t>
          </w:r>
        </w:p>
      </w:tc>
    </w:tr>
    <w:tr w14:paraId="2C0D33BE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86019E4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9CDED16">
          <w:pPr>
            <w:jc w:val="right"/>
            <w:rPr>
              <w:szCs w:val="18"/>
            </w:rPr>
          </w:pPr>
          <w:bookmarkStart w:id="2" w:name="bmkDate"/>
          <w:bookmarkStart w:id="3" w:name="spsDateDistribution"/>
          <w:r>
            <w:rPr>
              <w:szCs w:val="18"/>
            </w:rPr>
            <w:t>18 de julio de 2025</w:t>
          </w:r>
          <w:bookmarkEnd w:id="2"/>
          <w:bookmarkEnd w:id="3"/>
        </w:p>
      </w:tc>
    </w:tr>
    <w:tr w14:paraId="68F67FC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186D632">
          <w:pPr>
            <w:jc w:val="left"/>
            <w:rPr>
              <w:b/>
              <w:szCs w:val="18"/>
            </w:rPr>
          </w:pPr>
          <w:bookmarkStart w:id="4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4631</w:t>
          </w:r>
          <w:r>
            <w:rPr>
              <w:b w:val="0"/>
              <w:color w:val="FF0000"/>
            </w:rPr>
            <w:t>)</w:t>
          </w:r>
          <w:bookmarkEnd w:id="4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CD3EB4A">
          <w:pPr>
            <w:jc w:val="right"/>
            <w:rPr>
              <w:szCs w:val="18"/>
            </w:rPr>
          </w:pPr>
          <w:bookmarkStart w:id="5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2</w:t>
          </w:r>
          <w:r>
            <w:rPr>
              <w:szCs w:val="18"/>
            </w:rPr>
            <w:fldChar w:fldCharType="end"/>
          </w:r>
          <w:bookmarkEnd w:id="5"/>
        </w:p>
      </w:tc>
    </w:tr>
    <w:tr w14:paraId="74D5242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8FCAFB">
          <w:pPr>
            <w:jc w:val="left"/>
            <w:rPr>
              <w:szCs w:val="18"/>
            </w:rPr>
          </w:pPr>
          <w:bookmarkStart w:id="6" w:name="bmkCommittee"/>
          <w:r>
            <w:rPr>
              <w:b/>
              <w:szCs w:val="18"/>
            </w:rPr>
            <w:t>Comité de Obstáculos Técnicos al Comercio</w:t>
          </w:r>
          <w:bookmarkEnd w:id="6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E6ADE0B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 xml:space="preserve">Original: </w:t>
          </w:r>
          <w:bookmarkStart w:id="8" w:name="spsOriginalLanguage"/>
          <w:r>
            <w:rPr>
              <w:bCs/>
              <w:szCs w:val="18"/>
            </w:rPr>
            <w:t>español</w:t>
          </w:r>
          <w:bookmarkEnd w:id="7"/>
          <w:bookmarkEnd w:id="8"/>
        </w:p>
      </w:tc>
    </w:tr>
  </w:tbl>
  <w:p w14:paraId="2FDA17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movePersonalInformation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3682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83277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26FF0"/>
    <w:rsid w:val="00A37C79"/>
    <w:rsid w:val="00A42A6A"/>
    <w:rsid w:val="00A46611"/>
    <w:rsid w:val="00A52F73"/>
    <w:rsid w:val="00A5462B"/>
    <w:rsid w:val="00A60556"/>
    <w:rsid w:val="00A627A8"/>
    <w:rsid w:val="00A634E9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32C0D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58AC"/>
    <w:rsid w:val="00EB7769"/>
    <w:rsid w:val="00ED3396"/>
    <w:rsid w:val="00EE50B7"/>
    <w:rsid w:val="00EF045A"/>
    <w:rsid w:val="00EF756F"/>
    <w:rsid w:val="00F009AC"/>
    <w:rsid w:val="00F11625"/>
    <w:rsid w:val="00F325A3"/>
    <w:rsid w:val="00F35602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26F328F5"/>
    <w:rsid w:val="2783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qFormat="1" w:uiPriority="99" w:name="envelope address"/>
    <w:lsdException w:qFormat="1"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qFormat="1"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qFormat="1" w:uiPriority="49" w:name="List Number 5"/>
    <w:lsdException w:qFormat="1" w:unhideWhenUsed="0" w:uiPriority="5" w:semiHidden="0" w:name="Title"/>
    <w:lsdException w:qFormat="1" w:uiPriority="99" w:name="Closing"/>
    <w:lsdException w:qFormat="1"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unhideWhenUsed="0" w:uiPriority="65" w:semiHidden="0" w:name="Medium List 1 Accent 3"/>
    <w:lsdException w:qFormat="1" w:unhideWhenUsed="0" w:uiPriority="66" w:semiHidden="0" w:name="Medium List 2 Accent 3"/>
    <w:lsdException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qFormat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qFormat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qFormat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qFormat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qFormat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qFormat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qFormat/>
    <w:uiPriority w:val="99"/>
    <w:rPr>
      <w:lang w:val="es-ES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qFormat/>
    <w:uiPriority w:val="99"/>
    <w:rPr>
      <w:i/>
      <w:iCs/>
      <w:lang w:val="es-ES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qFormat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basedOn w:val="231"/>
    <w:unhideWhenUsed/>
    <w:qFormat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qFormat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qFormat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qFormat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qFormat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qFormat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qFormat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f7bacae2-dd7c-44b8-815b-5b629b99031c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06C9BC7B-C144-4490-AB7D-119CC54B48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591</Words>
  <Characters>3559</Characters>
  <Lines>60</Lines>
  <Paragraphs>34</Paragraphs>
  <TotalTime>0</TotalTime>
  <ScaleCrop>false</ScaleCrop>
  <LinksUpToDate>false</LinksUpToDate>
  <CharactersWithSpaces>4103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2025-06-17T12:22:00Z</dcterms:created>
  <dc:description>LDIMD - DTU</dc:description>
  <dcterms:modified xsi:type="dcterms:W3CDTF">2025-07-18T14:46:19Z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WTO OFFICIAL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2052-12.1.0.21915</vt:lpwstr>
  </property>
  <property fmtid="{D5CDD505-2E9C-101B-9397-08002B2CF9AE}" pid="7" name="ICV">
    <vt:lpwstr>F22158BC5204467F99EF5020F4F8F8C4_12</vt:lpwstr>
  </property>
</Properties>
</file>