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0981F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NOTIFICATION</w:t>
      </w:r>
    </w:p>
    <w:p w14:paraId="4758A797">
      <w:pPr>
        <w:pStyle w:val="274"/>
      </w:pPr>
      <w:r>
        <w:t>Revision</w:t>
      </w:r>
    </w:p>
    <w:p w14:paraId="2F222CE4">
      <w:pPr>
        <w:jc w:val="center"/>
      </w:pPr>
      <w:r>
        <w:t>The following notification is being circulated in accordance with Article 10.6.</w:t>
      </w:r>
    </w:p>
    <w:p w14:paraId="4D20E2EC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8532"/>
      </w:tblGrid>
      <w:tr w14:paraId="0AFCC0D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bottom w:val="single" w:color="auto" w:sz="6" w:space="0"/>
            </w:tcBorders>
            <w:shd w:val="clear" w:color="auto" w:fill="auto"/>
          </w:tcPr>
          <w:p w14:paraId="01AE4524">
            <w:pPr>
              <w:spacing w:before="120" w:after="120"/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w="4616" w:type="pct"/>
            <w:tcBorders>
              <w:bottom w:val="single" w:color="auto" w:sz="6" w:space="0"/>
            </w:tcBorders>
            <w:shd w:val="clear" w:color="auto" w:fill="auto"/>
          </w:tcPr>
          <w:p w14:paraId="159F1B8C">
            <w:pPr>
              <w:spacing w:before="120" w:after="120"/>
            </w:pPr>
            <w:r>
              <w:rPr>
                <w:b/>
              </w:rPr>
              <w:t>Notifying Member:</w:t>
            </w:r>
            <w:r>
              <w:rPr>
                <w:bCs/>
              </w:rPr>
              <w:t xml:space="preserve"> </w:t>
            </w:r>
            <w:r>
              <w:rPr>
                <w:bCs/>
                <w:u w:val="single"/>
              </w:rPr>
              <w:t>THAILAND</w:t>
            </w:r>
          </w:p>
          <w:p w14:paraId="13F07672">
            <w:pPr>
              <w:spacing w:after="120"/>
            </w:pPr>
            <w:r>
              <w:rPr>
                <w:b/>
              </w:rPr>
              <w:t>If applicable, name of local government involved (Articles 3.2 and 7.2):</w:t>
            </w:r>
            <w:r>
              <w:t xml:space="preserve"> </w:t>
            </w:r>
          </w:p>
        </w:tc>
      </w:tr>
      <w:tr w14:paraId="1AB01C5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7DDDC1">
            <w:pPr>
              <w:spacing w:before="120" w:after="120"/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0B10810">
            <w:pPr>
              <w:spacing w:before="120" w:after="120"/>
            </w:pPr>
            <w:r>
              <w:rPr>
                <w:b/>
              </w:rPr>
              <w:t>Agency responsible:</w:t>
            </w:r>
            <w:r>
              <w:t xml:space="preserve"> </w:t>
            </w:r>
          </w:p>
          <w:p w14:paraId="228F0436">
            <w:pPr>
              <w:spacing w:after="120"/>
            </w:pPr>
            <w:r>
              <w:t>Thai Industrial Standards Institute (TISI), Ministry of Industry</w:t>
            </w:r>
          </w:p>
          <w:p w14:paraId="257528EF">
            <w:pPr>
              <w:spacing w:after="120"/>
              <w:rPr>
                <w:bCs/>
              </w:rPr>
            </w:pPr>
            <w:r>
              <w:rPr>
                <w:b/>
              </w:rPr>
              <w:t>Name and address (including telephone and fax numbers, email and website addresses, if available) of</w:t>
            </w:r>
            <w:r>
              <w:t xml:space="preserve"> </w:t>
            </w:r>
            <w:r>
              <w:rPr>
                <w:b/>
              </w:rPr>
              <w:t>agency or authority designated to handle comments regarding the notification shall be indicated if different from above:</w:t>
            </w:r>
            <w:r>
              <w:rPr>
                <w:bCs/>
              </w:rPr>
              <w:t xml:space="preserve"> </w:t>
            </w:r>
          </w:p>
        </w:tc>
      </w:tr>
      <w:tr w14:paraId="667BAC9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3BDBF7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07292EF">
            <w:pPr>
              <w:spacing w:before="120" w:after="120"/>
              <w:rPr>
                <w:b/>
              </w:rPr>
            </w:pPr>
            <w:r>
              <w:rPr>
                <w:b/>
              </w:rPr>
              <w:t>Notified under Article 2.9.2 [X], 2.10.1 [ ], 5.6.2 [ ], 5.7.1 [ ], 3.2 [ ], 7.2 [ ], other:</w:t>
            </w:r>
            <w:r>
              <w:t xml:space="preserve"> </w:t>
            </w:r>
          </w:p>
        </w:tc>
      </w:tr>
      <w:tr w14:paraId="77A8BD0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983D66">
            <w:pPr>
              <w:spacing w:before="120" w:after="120"/>
              <w:jc w:val="center"/>
            </w:pPr>
            <w:r>
              <w:rPr>
                <w:b/>
              </w:rPr>
              <w:t>4.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8783C29">
            <w:pPr>
              <w:spacing w:before="120" w:after="120"/>
            </w:pPr>
            <w:r>
              <w:rPr>
                <w:b/>
              </w:rPr>
              <w:t>Products covered (HS or CCCN where applicable, otherwise national tariff heading. ICS numbers may be provided in addition, where applicable):</w:t>
            </w:r>
            <w:r>
              <w:t xml:space="preserve"> Polypropylene Resin (ICS code: 83.080.20)</w:t>
            </w:r>
          </w:p>
        </w:tc>
      </w:tr>
      <w:tr w14:paraId="18459C0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F6857A3">
            <w:pPr>
              <w:spacing w:before="120" w:after="120"/>
              <w:jc w:val="center"/>
            </w:pPr>
            <w:r>
              <w:rPr>
                <w:b/>
              </w:rPr>
              <w:t>5.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E5F63D8">
            <w:pPr>
              <w:spacing w:before="120" w:after="120"/>
            </w:pPr>
            <w:r>
              <w:rPr>
                <w:b/>
              </w:rPr>
              <w:t>Title, number of pages and language(s) of the notified document:</w:t>
            </w:r>
            <w:r>
              <w:t xml:space="preserve"> Draft Ministerial Regulation Prescribing Industrial Products for Polypropylene Resin to Conform to the Standard B.E. ....; (23 page(s), in Thai)</w:t>
            </w:r>
          </w:p>
        </w:tc>
      </w:tr>
      <w:tr w14:paraId="4BE5FA7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17FEB8C">
            <w:pPr>
              <w:spacing w:before="120" w:after="120"/>
              <w:jc w:val="center"/>
            </w:pPr>
            <w:r>
              <w:rPr>
                <w:b/>
              </w:rPr>
              <w:t>6.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9361966">
            <w:pPr>
              <w:spacing w:before="120" w:after="120"/>
            </w:pPr>
            <w:r>
              <w:rPr>
                <w:b/>
              </w:rPr>
              <w:t>Description of content:</w:t>
            </w:r>
            <w:r>
              <w:t xml:space="preserve"> The draft Ministerial Regulation mandates polypropylene resin to conform to the Thai Industrial Standard TIS 1306-2566 (2023) Polypropylene Resin.</w:t>
            </w:r>
          </w:p>
          <w:p w14:paraId="3B79278F">
            <w:pPr>
              <w:spacing w:before="120" w:after="120"/>
            </w:pPr>
            <w:r>
              <w:t>This draft Ministerial Regulation applies to the following industrial products:</w:t>
            </w:r>
          </w:p>
          <w:p w14:paraId="31EF7A0F">
            <w:pPr>
              <w:spacing w:before="120" w:after="120"/>
            </w:pPr>
            <w:r>
              <w:t>1. Virgin Polypropylene Resins composed of a homopolymer made from propylene monomer.</w:t>
            </w:r>
          </w:p>
          <w:p w14:paraId="4B2A5482">
            <w:pPr>
              <w:spacing w:before="120" w:after="120"/>
            </w:pPr>
            <w:r>
              <w:t>2. Virgin Polypropylene Resins composed of a copolymer of propylene monomer and ethylene (C2), where the ethylene content does not exceed 15% by mass fraction.</w:t>
            </w:r>
          </w:p>
          <w:p w14:paraId="31F8EEDF">
            <w:pPr>
              <w:spacing w:before="120" w:after="120"/>
            </w:pPr>
            <w:r>
              <w:t>3. Virgin Polypropylene Resins composed of a copolymer of propylene monomer and alkene olefins, ranging from C4 to C8, where the combined content of alkene olefins does not exceed 15% by mass fraction.</w:t>
            </w:r>
          </w:p>
          <w:p w14:paraId="35F0AD37">
            <w:pPr>
              <w:spacing w:before="120" w:after="120"/>
            </w:pPr>
            <w:r>
              <w:t>4. Virgin Polypropylene Resins composed of a copolymer of propylene monomer, ethylene (C2), and alkene olefins, ranging from C4 to C8, where the combined content of ethylene and alkene olefins does not exceed 15% by mass fraction.</w:t>
            </w:r>
          </w:p>
          <w:p w14:paraId="6D31E667">
            <w:pPr>
              <w:spacing w:before="120" w:after="120"/>
            </w:pPr>
            <w:r>
              <w:t>5. Virgin Polypropylene Resins in which the content of propylene monomer is not less than 50% by mass fraction.</w:t>
            </w:r>
          </w:p>
          <w:p w14:paraId="5E7C4065">
            <w:pPr>
              <w:spacing w:before="120" w:after="120"/>
            </w:pPr>
            <w:r>
              <w:t>This draft Ministerial Regulation does not apply to polypropylene compound and recycled polypropylene resins.</w:t>
            </w:r>
          </w:p>
        </w:tc>
      </w:tr>
      <w:tr w14:paraId="07CFD94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C7A165">
            <w:pPr>
              <w:spacing w:before="120" w:after="120"/>
              <w:jc w:val="center"/>
            </w:pPr>
            <w:r>
              <w:rPr>
                <w:b/>
              </w:rPr>
              <w:t>7.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5876F91">
            <w:pPr>
              <w:spacing w:before="120" w:after="120"/>
            </w:pPr>
            <w:r>
              <w:rPr>
                <w:b/>
              </w:rPr>
              <w:t>Objective and rationale, including the nature of urgent problems where applicable:</w:t>
            </w:r>
            <w:r>
              <w:t xml:space="preserve"> Protection of human health or safety </w:t>
            </w:r>
          </w:p>
        </w:tc>
      </w:tr>
      <w:tr w14:paraId="6AB251C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BCF5D32">
            <w:pPr>
              <w:spacing w:before="120" w:after="120"/>
              <w:jc w:val="center"/>
            </w:pPr>
            <w:r>
              <w:rPr>
                <w:b/>
              </w:rPr>
              <w:t>8.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D373049">
            <w:pPr>
              <w:spacing w:before="120" w:after="120"/>
            </w:pPr>
            <w:r>
              <w:rPr>
                <w:b/>
              </w:rPr>
              <w:t>Relevant documents:</w:t>
            </w:r>
            <w:r>
              <w:t xml:space="preserve"> </w:t>
            </w:r>
          </w:p>
          <w:p w14:paraId="254A62C1">
            <w:pPr>
              <w:spacing w:before="120" w:after="120"/>
            </w:pPr>
            <w:r>
              <w:t>- ASTM D 4101-17 Standard Classification System and Basis for Specification for Polypropylene Injection and Extrusion Materials</w:t>
            </w:r>
          </w:p>
          <w:p w14:paraId="31BB420F">
            <w:pPr>
              <w:spacing w:before="120" w:after="120"/>
            </w:pPr>
            <w:r>
              <w:t>- ASTM D 256-10 (Reapproved 2018) Standard Test Methods for Determining the Izod Pendulum Impact Resistance of Plastics</w:t>
            </w:r>
          </w:p>
          <w:p w14:paraId="77E1F8E9">
            <w:pPr>
              <w:spacing w:before="120" w:after="120"/>
            </w:pPr>
            <w:r>
              <w:t>- ASTM D 638-22 Standard Test Method for Tensile Properties of Plastics</w:t>
            </w:r>
          </w:p>
          <w:p w14:paraId="3316FD14">
            <w:pPr>
              <w:spacing w:before="120" w:after="120"/>
            </w:pPr>
            <w:r>
              <w:t>- ASTM D 648-18 Standard Test Method for Deflection Temperature of Plastics Under Flexural Load in the Edgewise Position</w:t>
            </w:r>
          </w:p>
          <w:p w14:paraId="13F7BA9D">
            <w:pPr>
              <w:spacing w:before="120" w:after="120"/>
            </w:pPr>
            <w:r>
              <w:t>- ASTM D 790-17 Standard Test Methods for Flexural Properties of Unreinforced and Reinforced Plastics and Electrical Insulating Materials</w:t>
            </w:r>
          </w:p>
          <w:p w14:paraId="1FD9C6B0">
            <w:pPr>
              <w:spacing w:before="120" w:after="120"/>
            </w:pPr>
            <w:r>
              <w:t>- ASTM D 1238-20 Standard Test Method for Melt Flow Rates of Thermoplastics by Extrusion Plastometer</w:t>
            </w:r>
          </w:p>
        </w:tc>
      </w:tr>
      <w:tr w14:paraId="64105AF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F8FA7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BAC9A24">
            <w:pPr>
              <w:spacing w:before="120" w:after="120"/>
            </w:pPr>
            <w:r>
              <w:rPr>
                <w:b/>
              </w:rPr>
              <w:t>Proposed date of adoption:</w:t>
            </w:r>
            <w:r>
              <w:rPr>
                <w:bCs/>
              </w:rPr>
              <w:t xml:space="preserve"> To be determined</w:t>
            </w:r>
          </w:p>
          <w:p w14:paraId="37A22FCB">
            <w:pPr>
              <w:spacing w:after="120"/>
            </w:pPr>
            <w:r>
              <w:rPr>
                <w:b/>
              </w:rPr>
              <w:t>Proposed date of entry into force:</w:t>
            </w:r>
            <w:r>
              <w:rPr>
                <w:bCs/>
              </w:rPr>
              <w:t xml:space="preserve"> After 90 days following the date of its publication in the Government Gazette.</w:t>
            </w:r>
          </w:p>
        </w:tc>
      </w:tr>
      <w:tr w14:paraId="04E02D0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27F4006">
            <w:pPr>
              <w:spacing w:before="120" w:after="120"/>
              <w:jc w:val="center"/>
            </w:pPr>
            <w:r>
              <w:rPr>
                <w:b/>
              </w:rPr>
              <w:t>10.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5E54451">
            <w:pPr>
              <w:spacing w:before="120" w:after="120"/>
            </w:pPr>
            <w:r>
              <w:rPr>
                <w:b/>
              </w:rPr>
              <w:t>Final date for comments:</w:t>
            </w:r>
            <w:r>
              <w:t xml:space="preserve"> 15 August 2025 (30 days from notification)</w:t>
            </w:r>
          </w:p>
          <w:p w14:paraId="471D0C2A">
            <w:pPr>
              <w:spacing w:before="120" w:after="120"/>
            </w:pPr>
            <w:bookmarkStart w:id="10" w:name="_GoBack"/>
            <w:bookmarkEnd w:id="10"/>
          </w:p>
          <w:p w14:paraId="3D813AE4">
            <w:pPr>
              <w:spacing w:before="120" w:after="120"/>
            </w:pPr>
            <w:r>
              <w:rPr>
                <w:b/>
                <w:bCs/>
              </w:rPr>
              <w:t>Contact details of agency or authority designated to handle comments regarding the notification:</w:t>
            </w:r>
            <w:r>
              <w:t xml:space="preserve"> </w:t>
            </w:r>
          </w:p>
          <w:p w14:paraId="21BD0895">
            <w:r>
              <w:t>WTO/TBT Enquiry Point and Notification Authority</w:t>
            </w:r>
          </w:p>
          <w:p w14:paraId="6BFF081B">
            <w:r>
              <w:t>Thai Industrial Standards Institute (TISI), Ministry of Industry</w:t>
            </w:r>
          </w:p>
          <w:p w14:paraId="31E6D4B1">
            <w:r>
              <w:t>Tel: (662)430 6831 ext. 2130</w:t>
            </w:r>
          </w:p>
          <w:p w14:paraId="7F7A5EE4">
            <w:r>
              <w:t>Fax: (662)354 3041</w:t>
            </w:r>
          </w:p>
          <w:p w14:paraId="149753CE">
            <w:r>
              <w:t xml:space="preserve">E-mail: </w:t>
            </w:r>
            <w:r>
              <w:fldChar w:fldCharType="begin"/>
            </w:r>
            <w:r>
              <w:instrText xml:space="preserve"> HYPERLINK "mailto:thaitbt@tisi.mail.go.th"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thaitbt@tisi.mail.go.th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370ADD3">
            <w:pPr>
              <w:spacing w:before="120" w:after="120"/>
            </w:pPr>
            <w:r>
              <w:t xml:space="preserve">Website: </w:t>
            </w:r>
            <w:r>
              <w:fldChar w:fldCharType="begin"/>
            </w:r>
            <w:r>
              <w:instrText xml:space="preserve"> HYPERLINK "https://www.tisi.go.th"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https://www.tisi.go.th</w:t>
            </w:r>
            <w:r>
              <w:rPr>
                <w:color w:val="0000FF"/>
                <w:u w:val="single"/>
              </w:rPr>
              <w:fldChar w:fldCharType="end"/>
            </w:r>
          </w:p>
        </w:tc>
      </w:tr>
      <w:tr w14:paraId="5FEEF6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84" w:type="pct"/>
            <w:tcBorders>
              <w:top w:val="single" w:color="auto" w:sz="6" w:space="0"/>
              <w:bottom w:val="double" w:color="auto" w:sz="6" w:space="0"/>
            </w:tcBorders>
            <w:shd w:val="clear" w:color="auto" w:fill="auto"/>
          </w:tcPr>
          <w:p w14:paraId="272BE6F8">
            <w:pPr>
              <w:keepNext/>
              <w:keepLines/>
              <w:spacing w:before="120" w:after="120"/>
              <w:jc w:val="center"/>
            </w:pPr>
            <w:r>
              <w:rPr>
                <w:b/>
              </w:rPr>
              <w:t>11.</w:t>
            </w:r>
          </w:p>
        </w:tc>
        <w:tc>
          <w:tcPr>
            <w:tcW w:w="4616" w:type="pct"/>
            <w:tcBorders>
              <w:top w:val="single" w:color="auto" w:sz="6" w:space="0"/>
              <w:bottom w:val="double" w:color="auto" w:sz="6" w:space="0"/>
            </w:tcBorders>
            <w:shd w:val="clear" w:color="auto" w:fill="auto"/>
          </w:tcPr>
          <w:p w14:paraId="5A487CE0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Texts available from: National enquiry point [ ] or address, telephone or fax numbers and email and website addresses, if available, of other body:</w:t>
            </w:r>
            <w:r>
              <w:t xml:space="preserve"> </w:t>
            </w:r>
          </w:p>
          <w:p w14:paraId="29EB93D7">
            <w:pPr>
              <w:keepNext/>
              <w:keepLines/>
            </w:pPr>
            <w:r>
              <w:t>WTO/TBT Enquiry Point and Notification Authority</w:t>
            </w:r>
          </w:p>
          <w:p w14:paraId="4D935940">
            <w:pPr>
              <w:keepNext/>
              <w:keepLines/>
            </w:pPr>
            <w:r>
              <w:t>Thai Industrial Standards Institute (TISI), Ministry of Industry</w:t>
            </w:r>
          </w:p>
          <w:p w14:paraId="28D3C44B">
            <w:pPr>
              <w:keepNext/>
              <w:keepLines/>
            </w:pPr>
            <w:r>
              <w:t>Tel: (662) 430 6831 ext. 2130</w:t>
            </w:r>
          </w:p>
          <w:p w14:paraId="5F1E3521">
            <w:pPr>
              <w:keepNext/>
              <w:keepLines/>
            </w:pPr>
            <w:r>
              <w:t>Fax: (662) 354 3041</w:t>
            </w:r>
          </w:p>
          <w:p w14:paraId="24E9228F">
            <w:pPr>
              <w:keepNext/>
              <w:keepLines/>
            </w:pPr>
            <w:r>
              <w:t xml:space="preserve">E-mail: </w:t>
            </w:r>
            <w:r>
              <w:fldChar w:fldCharType="begin"/>
            </w:r>
            <w:r>
              <w:instrText xml:space="preserve"> HYPERLINK "mailto:thaitbt@tisi.mail.go.th"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thaitbt@tisi.mail.go.th</w:t>
            </w:r>
            <w:r>
              <w:rPr>
                <w:color w:val="0000FF"/>
                <w:u w:val="single"/>
              </w:rPr>
              <w:fldChar w:fldCharType="end"/>
            </w:r>
          </w:p>
          <w:p w14:paraId="1EDF8D2F">
            <w:pPr>
              <w:keepNext/>
              <w:keepLines/>
            </w:pPr>
            <w:r>
              <w:t xml:space="preserve">Website: </w:t>
            </w:r>
            <w:r>
              <w:fldChar w:fldCharType="begin"/>
            </w:r>
            <w:r>
              <w:instrText xml:space="preserve"> HYPERLINK "https://www.tisi.go.th"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https://www.tisi.go.th</w:t>
            </w:r>
            <w:r>
              <w:rPr>
                <w:color w:val="0000FF"/>
                <w:u w:val="single"/>
              </w:rPr>
              <w:fldChar w:fldCharType="end"/>
            </w:r>
          </w:p>
          <w:p w14:paraId="013817A0">
            <w:pPr>
              <w:keepNext/>
              <w:keepLines/>
              <w:pBdr>
                <w:top w:val="none" w:color="auto" w:sz="0" w:space="4"/>
              </w:pBdr>
              <w:spacing w:after="120"/>
            </w:pPr>
          </w:p>
          <w:p w14:paraId="0C51EC34">
            <w:pPr>
              <w:pBdr>
                <w:top w:val="none" w:color="auto" w:sz="0" w:space="4"/>
                <w:bottom w:val="none" w:color="auto" w:sz="0" w:space="4"/>
              </w:pBdr>
            </w:pPr>
            <w:r>
              <w:fldChar w:fldCharType="begin"/>
            </w:r>
            <w:r>
              <w:instrText xml:space="preserve"> HYPERLINK "https://members.wto.org/crnattachments/2025/TBT/THA/25_04629_00_x.pdf" \t "_blank" </w:instrText>
            </w:r>
            <w:r>
              <w:fldChar w:fldCharType="separate"/>
            </w:r>
            <w:r>
              <w:rPr>
                <w:iCs/>
                <w:color w:val="0000FF"/>
                <w:u w:val="single"/>
              </w:rPr>
              <w:t>https://members.wto.org/crnattachments/2025/TBT/THA/25_04629_00_x.pdf</w:t>
            </w:r>
            <w:r>
              <w:rPr>
                <w:iCs/>
                <w:color w:val="0000FF"/>
                <w:u w:val="single"/>
              </w:rPr>
              <w:fldChar w:fldCharType="end"/>
            </w:r>
          </w:p>
        </w:tc>
      </w:tr>
    </w:tbl>
    <w:p w14:paraId="6D750CC9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AE98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5390F7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68652">
    <w:pPr>
      <w:pStyle w:val="56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A53A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G/TBT/N/THA/671/Rev.2</w:t>
    </w:r>
    <w:bookmarkEnd w:id="0"/>
  </w:p>
  <w:p w14:paraId="64380448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54093D75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0187A2A6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A6DFE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G/TBT/N/COUNTRY</w:t>
    </w:r>
  </w:p>
  <w:p w14:paraId="693A6AE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244AFC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685D4CF5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794"/>
      <w:gridCol w:w="2123"/>
      <w:gridCol w:w="3325"/>
    </w:tblGrid>
    <w:tr w14:paraId="396CCE9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D082E5">
          <w:pPr>
            <w:rPr>
              <w:lang w:eastAsia="en-GB"/>
            </w:rPr>
          </w:pPr>
          <w:bookmarkStart w:id="1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3A8E2B">
          <w:pPr>
            <w:jc w:val="right"/>
            <w:rPr>
              <w:b/>
              <w:color w:val="FF0000"/>
              <w:szCs w:val="16"/>
            </w:rPr>
          </w:pPr>
        </w:p>
      </w:tc>
    </w:tr>
    <w:bookmarkEnd w:id="1"/>
    <w:tr w14:paraId="2294DFC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E3DDE22">
          <w:pPr>
            <w:jc w:val="left"/>
          </w:pPr>
          <w:r>
            <w:rPr>
              <w:lang w:eastAsia="en-GB"/>
            </w:rPr>
            <w:drawing>
              <wp:inline distT="0" distB="0" distL="0" distR="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7F7413">
          <w:pPr>
            <w:jc w:val="right"/>
            <w:rPr>
              <w:b/>
              <w:szCs w:val="16"/>
            </w:rPr>
          </w:pPr>
        </w:p>
      </w:tc>
    </w:tr>
    <w:tr w14:paraId="4085C5D9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794" w:type="dxa"/>
          <w:vMerge w:val="continue"/>
          <w:shd w:val="clear" w:color="auto" w:fill="FFFFFF"/>
          <w:tcMar>
            <w:left w:w="108" w:type="dxa"/>
            <w:right w:w="108" w:type="dxa"/>
          </w:tcMar>
        </w:tcPr>
        <w:p w14:paraId="445AD90C">
          <w:pPr>
            <w:jc w:val="left"/>
            <w:rPr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457AD2">
          <w:pPr>
            <w:jc w:val="right"/>
            <w:rPr>
              <w:rFonts w:hint="eastAsia" w:eastAsia="宋体"/>
              <w:b/>
              <w:szCs w:val="16"/>
              <w:lang w:eastAsia="zh-CN"/>
            </w:rPr>
          </w:pPr>
          <w:bookmarkStart w:id="2" w:name="bmkSymbols"/>
          <w:r>
            <w:rPr>
              <w:b/>
              <w:szCs w:val="16"/>
            </w:rPr>
            <w:t>G/TBT/N/THA/</w:t>
          </w:r>
          <w:r>
            <w:rPr>
              <w:rFonts w:hint="eastAsia" w:eastAsia="宋体"/>
              <w:b/>
              <w:szCs w:val="16"/>
              <w:lang w:val="en-US" w:eastAsia="zh-CN"/>
            </w:rPr>
            <w:t>775</w:t>
          </w:r>
          <w:r>
            <w:rPr>
              <w:b/>
              <w:szCs w:val="16"/>
            </w:rPr>
            <w:t>/Rev.</w:t>
          </w:r>
          <w:bookmarkEnd w:id="2"/>
          <w:r>
            <w:rPr>
              <w:rFonts w:hint="eastAsia" w:eastAsia="宋体"/>
              <w:b/>
              <w:szCs w:val="16"/>
              <w:lang w:val="en-US" w:eastAsia="zh-CN"/>
            </w:rPr>
            <w:t>1</w:t>
          </w:r>
        </w:p>
      </w:tc>
    </w:tr>
    <w:tr w14:paraId="0EA19D6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794" w:type="dxa"/>
          <w:vMerge w:val="continue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03DD8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56CA75">
          <w:pPr>
            <w:jc w:val="right"/>
            <w:rPr>
              <w:szCs w:val="16"/>
            </w:rPr>
          </w:pPr>
          <w:bookmarkStart w:id="3" w:name="spsDateDistribution"/>
          <w:bookmarkStart w:id="4" w:name="bmkDate"/>
          <w:r>
            <w:rPr>
              <w:szCs w:val="16"/>
            </w:rPr>
            <w:t>16 July 2025</w:t>
          </w:r>
          <w:bookmarkEnd w:id="3"/>
          <w:bookmarkEnd w:id="4"/>
        </w:p>
      </w:tc>
    </w:tr>
    <w:tr w14:paraId="423FE7E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17" w:type="dxa"/>
          <w:gridSpan w:val="2"/>
          <w:tcBorders>
            <w:bottom w:val="single" w:color="auto" w:sz="4" w:space="0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1F78E3">
          <w:pPr>
            <w:jc w:val="left"/>
            <w:rPr>
              <w:b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456</w:t>
          </w:r>
          <w:r>
            <w:rPr>
              <w:b w:val="0"/>
              <w:color w:val="FF0000"/>
            </w:rPr>
            <w:t>3)</w:t>
          </w:r>
          <w:bookmarkEnd w:id="5"/>
        </w:p>
      </w:tc>
      <w:tc>
        <w:tcPr>
          <w:tcW w:w="3325" w:type="dxa"/>
          <w:tcBorders>
            <w:bottom w:val="single" w:color="auto" w:sz="4" w:space="0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6D96D2">
          <w:pPr>
            <w:jc w:val="right"/>
            <w:rPr>
              <w:szCs w:val="16"/>
            </w:rPr>
          </w:pPr>
          <w:bookmarkStart w:id="6" w:name="bmkTotPages"/>
          <w:r>
            <w:rPr>
              <w:bCs/>
              <w:szCs w:val="16"/>
            </w:rPr>
            <w:t xml:space="preserve">Page: </w:t>
          </w:r>
          <w:r>
            <w:rPr>
              <w:bCs/>
              <w:szCs w:val="16"/>
            </w:rPr>
            <w:fldChar w:fldCharType="begin"/>
          </w:r>
          <w:r>
            <w:rPr>
              <w:bCs/>
              <w:szCs w:val="16"/>
            </w:rPr>
            <w:instrText xml:space="preserve"> PAGE  \* Arabic  \* MERGEFORMAT </w:instrText>
          </w:r>
          <w:r>
            <w:rPr>
              <w:bCs/>
              <w:szCs w:val="16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6"/>
              <w:lang w:val="en-GB" w:eastAsia="en-US" w:bidi="ar-SA"/>
            </w:rPr>
            <w:t>1</w:t>
          </w:r>
          <w:r>
            <w:rPr>
              <w:bCs/>
              <w:szCs w:val="16"/>
            </w:rPr>
            <w:fldChar w:fldCharType="end"/>
          </w:r>
          <w:r>
            <w:rPr>
              <w:bCs/>
              <w:szCs w:val="16"/>
            </w:rPr>
            <w:t>/</w:t>
          </w:r>
          <w:r>
            <w:rPr>
              <w:bCs/>
              <w:szCs w:val="16"/>
            </w:rPr>
            <w:fldChar w:fldCharType="begin"/>
          </w:r>
          <w:r>
            <w:rPr>
              <w:bCs/>
              <w:szCs w:val="16"/>
            </w:rPr>
            <w:instrText xml:space="preserve"> NUMPAGES  \* Arabic  \* MERGEFORMAT </w:instrText>
          </w:r>
          <w:r>
            <w:rPr>
              <w:bCs/>
              <w:szCs w:val="16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6"/>
              <w:lang w:val="en-GB" w:eastAsia="en-US" w:bidi="ar-SA"/>
            </w:rPr>
            <w:t>2</w:t>
          </w:r>
          <w:r>
            <w:rPr>
              <w:bCs/>
              <w:szCs w:val="16"/>
            </w:rPr>
            <w:fldChar w:fldCharType="end"/>
          </w:r>
          <w:bookmarkEnd w:id="6"/>
        </w:p>
      </w:tc>
    </w:tr>
    <w:tr w14:paraId="28B8648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17" w:type="dxa"/>
          <w:gridSpan w:val="2"/>
          <w:tcBorders>
            <w:top w:val="single" w:color="auto" w:sz="4" w:space="0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AF8AAA">
          <w:pPr>
            <w:jc w:val="left"/>
            <w:rPr>
              <w:sz w:val="14"/>
              <w:szCs w:val="16"/>
            </w:rPr>
          </w:pPr>
          <w:bookmarkStart w:id="7" w:name="bmkCommittee"/>
          <w:r>
            <w:rPr>
              <w:b/>
            </w:rPr>
            <w:t>Committee on Technical Barriers to Trade</w:t>
          </w:r>
          <w:bookmarkEnd w:id="7"/>
        </w:p>
      </w:tc>
      <w:tc>
        <w:tcPr>
          <w:tcW w:w="3325" w:type="dxa"/>
          <w:tcBorders>
            <w:top w:val="single" w:color="auto" w:sz="4" w:space="0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67731F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 </w:t>
          </w:r>
          <w:bookmarkStart w:id="9" w:name="spsOriginalLanguage"/>
          <w:r>
            <w:rPr>
              <w:bCs/>
              <w:szCs w:val="18"/>
            </w:rPr>
            <w:t>English</w:t>
          </w:r>
          <w:bookmarkEnd w:id="8"/>
          <w:bookmarkEnd w:id="9"/>
        </w:p>
      </w:tc>
    </w:tr>
  </w:tbl>
  <w:p w14:paraId="44F530B0">
    <w:pPr>
      <w:pStyle w:val="5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82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attachedTemplate r:id="rId1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C0"/>
    <w:rsid w:val="000272F6"/>
    <w:rsid w:val="00037AC4"/>
    <w:rsid w:val="000423BF"/>
    <w:rsid w:val="00046D9E"/>
    <w:rsid w:val="000A3EFB"/>
    <w:rsid w:val="000A4945"/>
    <w:rsid w:val="000B31E1"/>
    <w:rsid w:val="00100018"/>
    <w:rsid w:val="0011356B"/>
    <w:rsid w:val="0013337F"/>
    <w:rsid w:val="00150A34"/>
    <w:rsid w:val="00173D7A"/>
    <w:rsid w:val="00181C92"/>
    <w:rsid w:val="00182B84"/>
    <w:rsid w:val="001B468E"/>
    <w:rsid w:val="001B5654"/>
    <w:rsid w:val="001B6060"/>
    <w:rsid w:val="001C5710"/>
    <w:rsid w:val="001D045F"/>
    <w:rsid w:val="001D1D8D"/>
    <w:rsid w:val="001D61A4"/>
    <w:rsid w:val="001E291F"/>
    <w:rsid w:val="00203270"/>
    <w:rsid w:val="002176BC"/>
    <w:rsid w:val="0022230B"/>
    <w:rsid w:val="00231951"/>
    <w:rsid w:val="00233408"/>
    <w:rsid w:val="0026497C"/>
    <w:rsid w:val="00267546"/>
    <w:rsid w:val="0027067B"/>
    <w:rsid w:val="0029715D"/>
    <w:rsid w:val="002B69C3"/>
    <w:rsid w:val="002C68CF"/>
    <w:rsid w:val="002D50AA"/>
    <w:rsid w:val="002F78E9"/>
    <w:rsid w:val="00300269"/>
    <w:rsid w:val="00353CB2"/>
    <w:rsid w:val="003572B4"/>
    <w:rsid w:val="003E6C00"/>
    <w:rsid w:val="003F5EEF"/>
    <w:rsid w:val="00400D4D"/>
    <w:rsid w:val="0041081F"/>
    <w:rsid w:val="00467032"/>
    <w:rsid w:val="0046754A"/>
    <w:rsid w:val="00472BE4"/>
    <w:rsid w:val="00486F72"/>
    <w:rsid w:val="004913FD"/>
    <w:rsid w:val="004B3635"/>
    <w:rsid w:val="004B48EF"/>
    <w:rsid w:val="004B69CA"/>
    <w:rsid w:val="004C341F"/>
    <w:rsid w:val="004E050B"/>
    <w:rsid w:val="004E1F98"/>
    <w:rsid w:val="004F203A"/>
    <w:rsid w:val="00501107"/>
    <w:rsid w:val="005336B8"/>
    <w:rsid w:val="00543B49"/>
    <w:rsid w:val="005441B3"/>
    <w:rsid w:val="00547B5F"/>
    <w:rsid w:val="005B04B9"/>
    <w:rsid w:val="005B63A3"/>
    <w:rsid w:val="005B68C7"/>
    <w:rsid w:val="005B7054"/>
    <w:rsid w:val="005B7BC0"/>
    <w:rsid w:val="005C7C63"/>
    <w:rsid w:val="005D5981"/>
    <w:rsid w:val="005E3073"/>
    <w:rsid w:val="005F30CB"/>
    <w:rsid w:val="005F4259"/>
    <w:rsid w:val="00600C85"/>
    <w:rsid w:val="00612644"/>
    <w:rsid w:val="00617604"/>
    <w:rsid w:val="0063410B"/>
    <w:rsid w:val="00646F7D"/>
    <w:rsid w:val="00674CCD"/>
    <w:rsid w:val="0069402C"/>
    <w:rsid w:val="006A3D8E"/>
    <w:rsid w:val="006A4935"/>
    <w:rsid w:val="006F5826"/>
    <w:rsid w:val="00700181"/>
    <w:rsid w:val="007141CF"/>
    <w:rsid w:val="0073780E"/>
    <w:rsid w:val="00745146"/>
    <w:rsid w:val="007458F7"/>
    <w:rsid w:val="00745C0F"/>
    <w:rsid w:val="00746ACF"/>
    <w:rsid w:val="007577E3"/>
    <w:rsid w:val="00760DB3"/>
    <w:rsid w:val="007640F2"/>
    <w:rsid w:val="00772BB5"/>
    <w:rsid w:val="00782291"/>
    <w:rsid w:val="007B6239"/>
    <w:rsid w:val="007B7A28"/>
    <w:rsid w:val="007E6507"/>
    <w:rsid w:val="007F2B8E"/>
    <w:rsid w:val="00807247"/>
    <w:rsid w:val="00840C2B"/>
    <w:rsid w:val="00854DAF"/>
    <w:rsid w:val="008739FD"/>
    <w:rsid w:val="008751E7"/>
    <w:rsid w:val="00893E85"/>
    <w:rsid w:val="00896CE2"/>
    <w:rsid w:val="008A43B9"/>
    <w:rsid w:val="008C0973"/>
    <w:rsid w:val="008D6315"/>
    <w:rsid w:val="008E372C"/>
    <w:rsid w:val="008E74A6"/>
    <w:rsid w:val="008F6F99"/>
    <w:rsid w:val="00941DF1"/>
    <w:rsid w:val="009434D3"/>
    <w:rsid w:val="009903FC"/>
    <w:rsid w:val="009A3FA6"/>
    <w:rsid w:val="009A6F54"/>
    <w:rsid w:val="009C7DE5"/>
    <w:rsid w:val="009D0EBF"/>
    <w:rsid w:val="009D7160"/>
    <w:rsid w:val="00A14E08"/>
    <w:rsid w:val="00A57051"/>
    <w:rsid w:val="00A6057A"/>
    <w:rsid w:val="00A74017"/>
    <w:rsid w:val="00A75DAA"/>
    <w:rsid w:val="00A83C94"/>
    <w:rsid w:val="00A94ADB"/>
    <w:rsid w:val="00A94F35"/>
    <w:rsid w:val="00A97452"/>
    <w:rsid w:val="00AA332C"/>
    <w:rsid w:val="00AC27F8"/>
    <w:rsid w:val="00AC75D9"/>
    <w:rsid w:val="00AD4C72"/>
    <w:rsid w:val="00AE2AEE"/>
    <w:rsid w:val="00B00276"/>
    <w:rsid w:val="00B107D5"/>
    <w:rsid w:val="00B2087B"/>
    <w:rsid w:val="00B226AA"/>
    <w:rsid w:val="00B230EC"/>
    <w:rsid w:val="00B30408"/>
    <w:rsid w:val="00B52738"/>
    <w:rsid w:val="00B56EDC"/>
    <w:rsid w:val="00B650D6"/>
    <w:rsid w:val="00B657DE"/>
    <w:rsid w:val="00B73EE6"/>
    <w:rsid w:val="00B80CAD"/>
    <w:rsid w:val="00BA4022"/>
    <w:rsid w:val="00BB1F84"/>
    <w:rsid w:val="00BB263B"/>
    <w:rsid w:val="00BB2BFC"/>
    <w:rsid w:val="00BE5468"/>
    <w:rsid w:val="00BF5532"/>
    <w:rsid w:val="00C02C7E"/>
    <w:rsid w:val="00C11EAC"/>
    <w:rsid w:val="00C305D7"/>
    <w:rsid w:val="00C30F2A"/>
    <w:rsid w:val="00C3606A"/>
    <w:rsid w:val="00C43456"/>
    <w:rsid w:val="00C65C0C"/>
    <w:rsid w:val="00C7247C"/>
    <w:rsid w:val="00C808FC"/>
    <w:rsid w:val="00C812EC"/>
    <w:rsid w:val="00C82B33"/>
    <w:rsid w:val="00C87936"/>
    <w:rsid w:val="00C958E9"/>
    <w:rsid w:val="00CA303A"/>
    <w:rsid w:val="00CA368D"/>
    <w:rsid w:val="00CC162F"/>
    <w:rsid w:val="00CC4BA9"/>
    <w:rsid w:val="00CD12A6"/>
    <w:rsid w:val="00CD7D97"/>
    <w:rsid w:val="00CE14AC"/>
    <w:rsid w:val="00CE3EE6"/>
    <w:rsid w:val="00CE4BA1"/>
    <w:rsid w:val="00D000C7"/>
    <w:rsid w:val="00D52A9D"/>
    <w:rsid w:val="00D55AAD"/>
    <w:rsid w:val="00D70FFA"/>
    <w:rsid w:val="00D747AE"/>
    <w:rsid w:val="00D90ADD"/>
    <w:rsid w:val="00D9226C"/>
    <w:rsid w:val="00DA0C04"/>
    <w:rsid w:val="00DA20BD"/>
    <w:rsid w:val="00DC14BC"/>
    <w:rsid w:val="00DC7ACB"/>
    <w:rsid w:val="00DE50DB"/>
    <w:rsid w:val="00DF6AE1"/>
    <w:rsid w:val="00E42A3E"/>
    <w:rsid w:val="00E46FD5"/>
    <w:rsid w:val="00E544BB"/>
    <w:rsid w:val="00E56545"/>
    <w:rsid w:val="00E91874"/>
    <w:rsid w:val="00E94F70"/>
    <w:rsid w:val="00EA2511"/>
    <w:rsid w:val="00EA5D4F"/>
    <w:rsid w:val="00EB6C56"/>
    <w:rsid w:val="00ED54E0"/>
    <w:rsid w:val="00EE1F8F"/>
    <w:rsid w:val="00F10043"/>
    <w:rsid w:val="00F32397"/>
    <w:rsid w:val="00F40595"/>
    <w:rsid w:val="00F4118F"/>
    <w:rsid w:val="00F4523B"/>
    <w:rsid w:val="00F636B2"/>
    <w:rsid w:val="00F66C50"/>
    <w:rsid w:val="00F72BEF"/>
    <w:rsid w:val="00F80D5C"/>
    <w:rsid w:val="00FA4309"/>
    <w:rsid w:val="00FA5EBC"/>
    <w:rsid w:val="00FD224A"/>
    <w:rsid w:val="00FE0068"/>
    <w:rsid w:val="00FF4616"/>
    <w:rsid w:val="1E41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uiPriority="99" w:name="page number"/>
    <w:lsdException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unhideWhenUsed="0" w:uiPriority="1" w:semiHidden="0" w:name="List Bullet 2"/>
    <w:lsdException w:qFormat="1" w:unhideWhenUsed="0" w:uiPriority="1" w:semiHidden="0" w:name="List Bullet 3"/>
    <w:lsdException w:unhideWhenUsed="0" w:uiPriority="1" w:semiHidden="0" w:name="List Bullet 4"/>
    <w:lsdException w:unhideWhenUsed="0" w:uiPriority="1" w:semiHidden="0" w:name="List Bullet 5"/>
    <w:lsdException w:qFormat="1" w:uiPriority="49" w:name="List Number 2"/>
    <w:lsdException w:qFormat="1" w:uiPriority="49" w:name="List Number 3"/>
    <w:lsdException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uiPriority="99" w:name="List Continue 2"/>
    <w:lsdException w:uiPriority="99" w:name="List Continue 3"/>
    <w:lsdException w:qFormat="1" w:uiPriority="99" w:name="List Continue 4"/>
    <w:lsdException w:uiPriority="99" w:name="List Continue 5"/>
    <w:lsdException w:qFormat="1" w:uiPriority="99" w:name="Message Header"/>
    <w:lsdException w:qFormat="1" w:unhideWhenUsed="0" w:uiPriority="6" w:semiHidden="0" w:name="Subtitle"/>
    <w:lsdException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uiPriority="99" w:semiHidden="0" w:name="Plain Text"/>
    <w:lsdException w:qFormat="1" w:uiPriority="99" w:name="E-mail Signature"/>
    <w:lsdException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uiPriority="99" w:name="Table 3D effects 1"/>
    <w:lsdException w:uiPriority="99" w:name="Table 3D effects 2"/>
    <w:lsdException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n-GB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0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1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2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3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n-GB" w:eastAsia="en-US" w:bidi="ar-SA"/>
    </w:rPr>
  </w:style>
  <w:style w:type="paragraph" w:styleId="9">
    <w:name w:val="Body Text"/>
    <w:basedOn w:val="1"/>
    <w:link w:val="259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uiPriority w:val="99"/>
  </w:style>
  <w:style w:type="paragraph" w:styleId="18">
    <w:name w:val="List Bullet 4"/>
    <w:basedOn w:val="1"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uiPriority w:val="99"/>
  </w:style>
  <w:style w:type="paragraph" w:styleId="32">
    <w:name w:val="Body Text 3"/>
    <w:basedOn w:val="1"/>
    <w:link w:val="261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7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9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0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5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n-GB"/>
    </w:rPr>
  </w:style>
  <w:style w:type="character" w:styleId="233">
    <w:name w:val="endnote reference"/>
    <w:uiPriority w:val="49"/>
    <w:rPr>
      <w:vertAlign w:val="superscript"/>
      <w:lang w:val="en-GB"/>
    </w:rPr>
  </w:style>
  <w:style w:type="character" w:styleId="234">
    <w:name w:val="page number"/>
    <w:semiHidden/>
    <w:unhideWhenUsed/>
    <w:uiPriority w:val="99"/>
    <w:rPr>
      <w:lang w:val="en-GB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n-GB"/>
    </w:rPr>
  </w:style>
  <w:style w:type="character" w:styleId="236">
    <w:name w:val="Emphasis"/>
    <w:semiHidden/>
    <w:qFormat/>
    <w:uiPriority w:val="99"/>
    <w:rPr>
      <w:i/>
      <w:iCs/>
      <w:lang w:val="en-GB"/>
    </w:rPr>
  </w:style>
  <w:style w:type="character" w:styleId="237">
    <w:name w:val="line number"/>
    <w:semiHidden/>
    <w:unhideWhenUsed/>
    <w:qFormat/>
    <w:uiPriority w:val="99"/>
    <w:rPr>
      <w:lang w:val="en-GB"/>
    </w:rPr>
  </w:style>
  <w:style w:type="character" w:styleId="238">
    <w:name w:val="HTML Definition"/>
    <w:semiHidden/>
    <w:unhideWhenUsed/>
    <w:qFormat/>
    <w:uiPriority w:val="99"/>
    <w:rPr>
      <w:i/>
      <w:iCs/>
      <w:lang w:val="en-GB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0">
    <w:name w:val="HTML Acronym"/>
    <w:semiHidden/>
    <w:unhideWhenUsed/>
    <w:qFormat/>
    <w:uiPriority w:val="99"/>
    <w:rPr>
      <w:lang w:val="en-GB"/>
    </w:rPr>
  </w:style>
  <w:style w:type="character" w:styleId="241">
    <w:name w:val="HTML Variable"/>
    <w:semiHidden/>
    <w:unhideWhenUsed/>
    <w:qFormat/>
    <w:uiPriority w:val="99"/>
    <w:rPr>
      <w:i/>
      <w:iCs/>
      <w:lang w:val="en-GB"/>
    </w:rPr>
  </w:style>
  <w:style w:type="character" w:styleId="242">
    <w:name w:val="Hyperlink"/>
    <w:unhideWhenUsed/>
    <w:qFormat/>
    <w:uiPriority w:val="9"/>
    <w:rPr>
      <w:color w:val="0000FF"/>
      <w:u w:val="single"/>
      <w:lang w:val="en-GB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n-GB"/>
    </w:rPr>
  </w:style>
  <w:style w:type="character" w:styleId="245">
    <w:name w:val="HTML Cite"/>
    <w:semiHidden/>
    <w:unhideWhenUsed/>
    <w:qFormat/>
    <w:uiPriority w:val="99"/>
    <w:rPr>
      <w:i/>
      <w:iCs/>
      <w:lang w:val="en-GB"/>
    </w:rPr>
  </w:style>
  <w:style w:type="character" w:styleId="246">
    <w:name w:val="footnote reference"/>
    <w:qFormat/>
    <w:uiPriority w:val="5"/>
    <w:rPr>
      <w:vertAlign w:val="superscript"/>
      <w:lang w:val="en-GB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n-GB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n-GB"/>
    </w:rPr>
  </w:style>
  <w:style w:type="character" w:customStyle="1" w:styleId="250">
    <w:name w:val="Heading 2 Char"/>
    <w:link w:val="4"/>
    <w:uiPriority w:val="2"/>
    <w:rPr>
      <w:rFonts w:ascii="Verdana" w:hAnsi="Verdana" w:eastAsia="Times New Roman"/>
      <w:b/>
      <w:bCs/>
      <w:color w:val="006283"/>
      <w:sz w:val="18"/>
      <w:szCs w:val="26"/>
      <w:lang w:val="en-GB"/>
    </w:rPr>
  </w:style>
  <w:style w:type="character" w:customStyle="1" w:styleId="251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n-GB"/>
    </w:rPr>
  </w:style>
  <w:style w:type="character" w:customStyle="1" w:styleId="252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n-GB"/>
    </w:rPr>
  </w:style>
  <w:style w:type="character" w:customStyle="1" w:styleId="253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n-GB"/>
    </w:rPr>
  </w:style>
  <w:style w:type="character" w:customStyle="1" w:styleId="254">
    <w:name w:val="Heading 6 Char"/>
    <w:link w:val="8"/>
    <w:uiPriority w:val="2"/>
    <w:rPr>
      <w:rFonts w:ascii="Verdana" w:hAnsi="Verdana" w:eastAsia="Times New Roman"/>
      <w:b/>
      <w:iCs/>
      <w:color w:val="006283"/>
      <w:sz w:val="18"/>
      <w:szCs w:val="22"/>
      <w:lang w:val="en-GB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n-GB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n-GB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n-GB"/>
    </w:rPr>
  </w:style>
  <w:style w:type="character" w:customStyle="1" w:styleId="25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n-GB"/>
    </w:rPr>
  </w:style>
  <w:style w:type="character" w:customStyle="1" w:styleId="259">
    <w:name w:val="Body Text Char"/>
    <w:link w:val="9"/>
    <w:qFormat/>
    <w:uiPriority w:val="1"/>
    <w:rPr>
      <w:rFonts w:ascii="Verdana" w:hAnsi="Verdana"/>
      <w:sz w:val="18"/>
      <w:szCs w:val="22"/>
      <w:lang w:val="en-GB"/>
    </w:rPr>
  </w:style>
  <w:style w:type="character" w:customStyle="1" w:styleId="260">
    <w:name w:val="Body Text 2 Char"/>
    <w:link w:val="76"/>
    <w:qFormat/>
    <w:uiPriority w:val="1"/>
    <w:rPr>
      <w:rFonts w:ascii="Verdana" w:hAnsi="Verdana"/>
      <w:sz w:val="18"/>
      <w:szCs w:val="22"/>
      <w:lang w:val="en-GB"/>
    </w:rPr>
  </w:style>
  <w:style w:type="character" w:customStyle="1" w:styleId="261">
    <w:name w:val="Body Text 3 Char"/>
    <w:link w:val="32"/>
    <w:qFormat/>
    <w:uiPriority w:val="1"/>
    <w:rPr>
      <w:rFonts w:ascii="Verdana" w:hAnsi="Verdana"/>
      <w:sz w:val="18"/>
      <w:szCs w:val="16"/>
      <w:lang w:val="en-GB"/>
    </w:rPr>
  </w:style>
  <w:style w:type="paragraph" w:customStyle="1" w:styleId="262">
    <w:name w:val="Answer"/>
    <w:basedOn w:val="1"/>
    <w:link w:val="263"/>
    <w:qFormat/>
    <w:uiPriority w:val="6"/>
    <w:pPr>
      <w:spacing w:after="240"/>
      <w:ind w:left="1077"/>
    </w:pPr>
  </w:style>
  <w:style w:type="character" w:customStyle="1" w:styleId="263">
    <w:name w:val="Answer Char"/>
    <w:link w:val="262"/>
    <w:qFormat/>
    <w:uiPriority w:val="6"/>
    <w:rPr>
      <w:rFonts w:ascii="Verdana" w:hAnsi="Verdana"/>
      <w:sz w:val="18"/>
      <w:szCs w:val="22"/>
      <w:lang w:val="en-GB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n-GB" w:eastAsia="en-GB"/>
    </w:rPr>
  </w:style>
  <w:style w:type="character" w:customStyle="1" w:styleId="265">
    <w:name w:val="Endnote Text Char"/>
    <w:link w:val="52"/>
    <w:uiPriority w:val="49"/>
    <w:rPr>
      <w:rFonts w:ascii="Verdana" w:hAnsi="Verdana"/>
      <w:sz w:val="16"/>
      <w:lang w:val="en-GB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n-GB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n-GB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n-GB" w:eastAsia="en-GB"/>
    </w:rPr>
  </w:style>
  <w:style w:type="paragraph" w:customStyle="1" w:styleId="271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2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paragraph" w:customStyle="1" w:styleId="273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74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75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76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77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character" w:customStyle="1" w:styleId="27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n-GB"/>
    </w:rPr>
  </w:style>
  <w:style w:type="character" w:customStyle="1" w:styleId="279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n-GB"/>
    </w:rPr>
  </w:style>
  <w:style w:type="paragraph" w:customStyle="1" w:styleId="280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81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82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paragraph" w:styleId="283">
    <w:name w:val="List Paragraph"/>
    <w:basedOn w:val="1"/>
    <w:semiHidden/>
    <w:qFormat/>
    <w:uiPriority w:val="59"/>
    <w:pPr>
      <w:ind w:left="720"/>
      <w:contextualSpacing/>
    </w:pPr>
  </w:style>
  <w:style w:type="table" w:customStyle="1" w:styleId="284">
    <w:name w:val="WTOBox1"/>
    <w:basedOn w:val="88"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5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n-GB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n-GB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n-GB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n-GB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n-GB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n-GB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n-GB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n-GB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n-GB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n-GB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n-GB"/>
    </w:rPr>
  </w:style>
  <w:style w:type="character" w:customStyle="1" w:styleId="308">
    <w:name w:val="Message Header Char"/>
    <w:link w:val="79"/>
    <w:semiHidden/>
    <w:uiPriority w:val="99"/>
    <w:rPr>
      <w:rFonts w:ascii="Cambria" w:hAnsi="Cambria" w:eastAsia="Times New Roman"/>
      <w:sz w:val="24"/>
      <w:szCs w:val="24"/>
      <w:shd w:val="pct20" w:color="auto" w:fill="auto"/>
      <w:lang w:val="en-GB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n-GB" w:eastAsia="en-US" w:bidi="ar-SA"/>
    </w:rPr>
  </w:style>
  <w:style w:type="character" w:customStyle="1" w:styleId="310">
    <w:name w:val="Note Heading Char"/>
    <w:link w:val="17"/>
    <w:semiHidden/>
    <w:uiPriority w:val="99"/>
    <w:rPr>
      <w:rFonts w:ascii="Verdana" w:hAnsi="Verdana"/>
      <w:sz w:val="18"/>
      <w:szCs w:val="22"/>
      <w:lang w:val="en-GB"/>
    </w:rPr>
  </w:style>
  <w:style w:type="character" w:styleId="311">
    <w:name w:val="Placeholder Text"/>
    <w:semiHidden/>
    <w:uiPriority w:val="99"/>
    <w:rPr>
      <w:color w:val="808080"/>
      <w:lang w:val="en-GB"/>
    </w:rPr>
  </w:style>
  <w:style w:type="character" w:customStyle="1" w:styleId="312">
    <w:name w:val="Plain Text Char"/>
    <w:link w:val="45"/>
    <w:uiPriority w:val="99"/>
    <w:rPr>
      <w:rFonts w:ascii="Consolas" w:hAnsi="Consolas" w:cs="Consolas"/>
      <w:sz w:val="21"/>
      <w:szCs w:val="21"/>
      <w:lang w:val="en-GB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n-GB"/>
    </w:rPr>
  </w:style>
  <w:style w:type="character" w:customStyle="1" w:styleId="315">
    <w:name w:val="Salutation Char"/>
    <w:link w:val="31"/>
    <w:semiHidden/>
    <w:uiPriority w:val="99"/>
    <w:rPr>
      <w:rFonts w:ascii="Verdana" w:hAnsi="Verdana"/>
      <w:sz w:val="18"/>
      <w:szCs w:val="22"/>
      <w:lang w:val="en-GB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n-GB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n-GB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n-GB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vision_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95eb9cd1-0e25-4d33-ac13-db99e28feef4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FC2338D8-5592-40FA-96B4-1CBB17926C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Revision_Regular_EN.dotx</Template>
  <Pages>2</Pages>
  <Words>590</Words>
  <Characters>3479</Characters>
  <Lines>81</Lines>
  <Paragraphs>58</Paragraphs>
  <TotalTime>0</TotalTime>
  <ScaleCrop>false</ScaleCrop>
  <LinksUpToDate>false</LinksUpToDate>
  <CharactersWithSpaces>4018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2025-03-13T10:11:00Z</dcterms:created>
  <dc:description>LDIMD - DTU</dc:description>
  <dcterms:modified xsi:type="dcterms:W3CDTF">2025-07-16T14:49:36Z</dcterms:modified>
  <dc:title>NOTIFICATION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95eb9cd1-0e25-4d33-ac13-db99e28feef4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F2C5B2FFA30E42A69710928719E92E2B_12</vt:lpwstr>
  </property>
</Properties>
</file>