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bookmarkStart w:id="10" w:name="_GoBack"/>
            <w:bookmarkEnd w:id="10"/>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Hazardous substances and mixtures, cosmetic, fertilisers</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088D2137">
            <w:pPr>
              <w:spacing w:before="120" w:after="120"/>
            </w:pPr>
            <w:r>
              <w:rPr>
                <w:b/>
              </w:rPr>
              <w:t>Title, number of pages and language(s) of the notified document:</w:t>
            </w:r>
            <w:r>
              <w:t xml:space="preserve"> Proposal for a Regulation of the European Parliament and of the Council amending Regulations (EC) No 1272/2008, (EC) No 1223/2009 and (EU) 2019/1009 as regards simplification of certain requirements and procedures for chemical products; (64 page(s), in English), (9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0E224C8">
            <w:pPr>
              <w:spacing w:before="120" w:after="120"/>
              <w:rPr>
                <w:b/>
              </w:rPr>
            </w:pPr>
            <w:r>
              <w:rPr>
                <w:b/>
              </w:rPr>
              <w:t>Description of content:</w:t>
            </w:r>
            <w:r>
              <w:t xml:space="preserve"> Following the commitments of the European Commission to reduce administrative burden and costs for businesses, this initiative aims at simplifying and streamlining certain requirements and procedures for chemical products identified as particularly burdensome by industry and authorities. These provisions would benefit from regulatory streamlining and modernisation, that will improve the effectiveness of chemical legislation.</w:t>
            </w:r>
          </w:p>
          <w:p w14:paraId="0EA9EF7D">
            <w:pPr>
              <w:spacing w:before="120" w:after="120"/>
            </w:pPr>
            <w:r>
              <w:t>More specifically, this initiative is aiming at simplification of the certain provisions and procedures of the following acts:</w:t>
            </w:r>
          </w:p>
          <w:p w14:paraId="2855584B">
            <w:pPr>
              <w:spacing w:before="120" w:after="120"/>
            </w:pPr>
            <w:r>
              <w:rPr>
                <w:b/>
                <w:bCs/>
              </w:rPr>
              <w:t>Regulation (EC) No 1272/2008</w:t>
            </w:r>
            <w:r>
              <w:t xml:space="preserve"> on classification, labelling and packaging of substances and mixtures, which requires economic operators to classify, label and package their hazardous chemicals appropriately before placing them on the market. This initiative is seeking to simplify the formatting rules laid down for labelling of hazardous chemicals, including rules on mandatory minimum font sizes and line spacing, as these were identified being particularly burdensome and costly for industry – the burden being disproportionate to the impact on the protection of health and safety of users and of the environment. It also aims at clarifying rules on derogations from labelling requirements for smaller packages and rules on labelling of fuel pumps. In order to alleviate the burden to businesses and to improve the free circulation of substances and mixtures in the internal market without, undermining the protection of human health and the environment, this initiative also seeks to limit the provisions of Regulation (EC) No 1272/2008 on advertisements and distance sales to products placed on the market for the general public, taking into account the fact that other EU legislation (namely – REACH) already provides clear obligations on information flows in professional supply chains for substances and mixtures. Furthermore, it seeks to lighten obligations for advertisements of hazardous substances and mixtures, reducing the amount of information to be provided and broaden the use of digital labelling, thus removing the amount of information to be provided on the physical label.</w:t>
            </w:r>
          </w:p>
          <w:p w14:paraId="6D28EC77">
            <w:pPr>
              <w:spacing w:before="120" w:after="120"/>
            </w:pPr>
            <w:r>
              <w:t>The revision of these rules will aim to achieve a balanced approach between administrative burden and costs for businesses and a high level of protection of human health and environment.</w:t>
            </w:r>
          </w:p>
          <w:p w14:paraId="56048C69">
            <w:pPr>
              <w:spacing w:before="120" w:after="120"/>
            </w:pPr>
            <w:r>
              <w:rPr>
                <w:b/>
                <w:bCs/>
              </w:rPr>
              <w:t>Regulation (EC) No 1223/2009</w:t>
            </w:r>
            <w:r>
              <w:t xml:space="preserve"> on cosmetic products. The amendments will maintain the high level of safety of cosmetic products made available to consumers on the EU market while setting out in more explicit manner the current requirements and reducing the unnecessary reporting obligations for businesses and the competent authorities. Notably, the procedure for inclusion of colorants, preservatives and UV filters into the relevant Annexes IV, V and VI to Regulation (EC) No 1223/2009 will be established facilitating the process and speeding up the use of new cosmetic ingredients. The existing derogation procedure from the generic prohibition on the use of substances classified as carcinogenic, mutagenic, or toxic for reproduction (CMR) in cosmetic products will be set out more clearly taking into account the over ten years of experience. Also, the digitalisation of the glossary of common ingredient names will ensure accurate and up-to-date labelling, reduce regulatory risks and compliance errors. Furthermore, abolition of pre-notifications of cosmetic products containing nanomaterials, currently required in addition to notification of cosmetic products to the Commission, and abolition of redundant reporting obligation on competent authorities, will reduce administrative burden on business and Member States.</w:t>
            </w:r>
          </w:p>
          <w:p w14:paraId="0204EE0B">
            <w:pPr>
              <w:spacing w:before="120" w:after="120"/>
              <w:rPr>
                <w:b/>
              </w:rPr>
            </w:pPr>
            <w:r>
              <w:rPr>
                <w:b/>
                <w:bCs/>
              </w:rPr>
              <w:t xml:space="preserve">Regulation (EU) 2019/1009 </w:t>
            </w:r>
            <w:r>
              <w:t>laying down rules on the making available on the market of EU fertilising products ('FPR'). The initiative seeks to remove the FPR-specific extended REACH registration requirement, so that 'standard' REACH provisions would also apply to substances used in EU fertilising products. It also seeks to empower the Commission to introduce criteria and a methodology for the assessment of microorganisms by manufacturers and notified bodies. Finally, this initiative would further digitalise the FPR. These legislative changes would reduce administrative burden for industry and are expected to have positive impacts on the circular use of materials and innovation, leading to price reduction and broader variety of EU fertilising products on the market.</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6A0612A">
            <w:pPr>
              <w:spacing w:before="120" w:after="120"/>
              <w:rPr>
                <w:b/>
              </w:rPr>
            </w:pPr>
            <w:r>
              <w:rPr>
                <w:b/>
              </w:rPr>
              <w:t>Objective and rationale, including the nature of urgent problems where applicable:</w:t>
            </w:r>
            <w:r>
              <w:t xml:space="preserve"> Consumer information, labelling; Protection of human health or safety; Protection of animal or plant life or health; Protection of the environment; Cost saving and productivity enhancement</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01EC7E86">
            <w:pPr>
              <w:spacing w:before="120" w:after="120"/>
            </w:pPr>
            <w:r>
              <w:t>Commission Staff Working Document Accompanying the document Proposal for a Regulation of the European Parliament and of the Council amending Regulations (EC) No 1272/2008, (EC) No 1223/2009 and (EU) 2019/1009 as regards simplification of certain requirements and procedures for chemical products, SWD(2025)531;</w:t>
            </w:r>
          </w:p>
          <w:p w14:paraId="68BE8FCD">
            <w:pPr>
              <w:spacing w:before="120" w:after="120"/>
            </w:pPr>
            <w:r>
              <w:t xml:space="preserve">Regulation (EC) No 1272/2008 of the European Parliament and of the Council of 16 December 2008 on classification, labelling and packaging of substances and mixtures, amending and repealing Directives 67/548/EEC and 1999/45/EC, and amending Regulation (EC) No 1907/2006, OJ L 353, 31.12.2008, p. 1, ELI: </w:t>
            </w:r>
            <w:r>
              <w:fldChar w:fldCharType="begin"/>
            </w:r>
            <w:r>
              <w:instrText xml:space="preserve"> HYPERLINK "http://data.europa.eu/eli/reg/2008/1272/oj" </w:instrText>
            </w:r>
            <w:r>
              <w:fldChar w:fldCharType="separate"/>
            </w:r>
            <w:r>
              <w:rPr>
                <w:color w:val="0000FF"/>
                <w:u w:val="single"/>
              </w:rPr>
              <w:t>http://data.europa.eu/eli/reg/2008/1272/oj</w:t>
            </w:r>
            <w:r>
              <w:rPr>
                <w:color w:val="0000FF"/>
                <w:u w:val="single"/>
              </w:rPr>
              <w:fldChar w:fldCharType="end"/>
            </w:r>
            <w:r>
              <w:t>.;</w:t>
            </w:r>
          </w:p>
          <w:p w14:paraId="719FA35C">
            <w:pPr>
              <w:spacing w:before="120" w:after="120"/>
            </w:pPr>
            <w:r>
              <w:t xml:space="preserve">Regulation (EC) No 1223/2009 of the European Parliament and of the Council of 30 November 2009 on cosmetic products (recast), OJ L 342, 22.12.2009, p. 59–209, ELI: </w:t>
            </w:r>
            <w:r>
              <w:fldChar w:fldCharType="begin"/>
            </w:r>
            <w:r>
              <w:instrText xml:space="preserve"> HYPERLINK "http://data.europa.eu/eli/reg/2009/1223/oj" </w:instrText>
            </w:r>
            <w:r>
              <w:fldChar w:fldCharType="separate"/>
            </w:r>
            <w:r>
              <w:rPr>
                <w:color w:val="0000FF"/>
                <w:u w:val="single"/>
              </w:rPr>
              <w:t>http://data.europa.eu/eli/reg/2009/1223/oj</w:t>
            </w:r>
            <w:r>
              <w:rPr>
                <w:color w:val="0000FF"/>
                <w:u w:val="single"/>
              </w:rPr>
              <w:fldChar w:fldCharType="end"/>
            </w:r>
            <w:r>
              <w:t>;</w:t>
            </w:r>
          </w:p>
          <w:p w14:paraId="144AE2E1">
            <w:pPr>
              <w:spacing w:before="120" w:after="120"/>
            </w:pPr>
            <w:r>
              <w:t xml:space="preserve">Regulation (EU) 2019/1009 of the European Parliament and of the Council of 5 June 2019 laying down rules on the making available on the market of EU fertilising products and amending Regulations (EC) No 1069/2009 and (EC) No 1107/2009 and repealing Regulation (EC) No 2003/2003, OJ L 170, 25.6.2019, p. 1, ELI: </w:t>
            </w:r>
            <w:r>
              <w:fldChar w:fldCharType="begin"/>
            </w:r>
            <w:r>
              <w:instrText xml:space="preserve"> HYPERLINK "http://data.europa.eu/eli/reg/2019/1009/oj" </w:instrText>
            </w:r>
            <w:r>
              <w:fldChar w:fldCharType="separate"/>
            </w:r>
            <w:r>
              <w:rPr>
                <w:color w:val="0000FF"/>
                <w:u w:val="single"/>
              </w:rPr>
              <w:t>http://data.europa.eu/eli/reg/2019/1009/oj</w:t>
            </w:r>
            <w:r>
              <w:rPr>
                <w:color w:val="0000FF"/>
                <w:u w:val="single"/>
              </w:rPr>
              <w:fldChar w:fldCharType="end"/>
            </w:r>
            <w:r>
              <w:t>;</w:t>
            </w:r>
          </w:p>
          <w:p w14:paraId="73D6C6E6">
            <w:pPr>
              <w:spacing w:before="120" w:after="120"/>
            </w:pPr>
            <w:r>
              <w:t xml:space="preserve">Regulation (EC) No 1907/2006 of the European Parliament and of the Council of 18 December 2006 concerning the Registration, Evaluation, Authorisation and Restriction of Chemicals (REACH), establishing a European Chemicals Agency, amending Directive 1999/45/EC and repealing Council Regulation (EEC) No 793/93 and Commission Regulation (EC) No 1488/94 as well as Council Directive 76/769/EEC and Commission Directives 91/155/EEC, 93/67/EEC, 93/105/EC and 2000/21/EC, OJ L 396, 30.12.2006, p. 1, ELI: </w:t>
            </w:r>
            <w:r>
              <w:fldChar w:fldCharType="begin"/>
            </w:r>
            <w:r>
              <w:instrText xml:space="preserve"> HYPERLINK "http://data.europa.eu/eli/reg/2006/1907/oj" </w:instrText>
            </w:r>
            <w:r>
              <w:fldChar w:fldCharType="separate"/>
            </w:r>
            <w:r>
              <w:rPr>
                <w:color w:val="0000FF"/>
                <w:u w:val="single"/>
              </w:rPr>
              <w:t>http://data.europa.eu/eli/reg/2006/1907/oj</w:t>
            </w:r>
            <w:r>
              <w:rPr>
                <w:color w:val="0000FF"/>
                <w:u w:val="single"/>
              </w:rPr>
              <w:fldChar w:fldCharType="end"/>
            </w:r>
            <w:r>
              <w:t>.</w:t>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rPr>
                <w:rFonts w:hint="default" w:eastAsia="宋体"/>
                <w:lang w:val="en-US" w:eastAsia="zh-CN"/>
              </w:rPr>
            </w:pPr>
            <w:r>
              <w:rPr>
                <w:b/>
              </w:rPr>
              <w:t>Proposed date of adoption:</w:t>
            </w:r>
            <w:r>
              <w:t xml:space="preserve"> second half of 2026</w:t>
            </w:r>
          </w:p>
          <w:p w14:paraId="040250F9">
            <w:pPr>
              <w:spacing w:after="120"/>
            </w:pPr>
            <w:r>
              <w:rPr>
                <w:b/>
              </w:rPr>
              <w:t>Proposed date of entry into force:</w:t>
            </w:r>
            <w:r>
              <w:t xml:space="preserve"> </w:t>
            </w:r>
            <w:r>
              <w:rPr>
                <w:rFonts w:hint="eastAsia" w:eastAsia="宋体"/>
                <w:lang w:val="en-US" w:eastAsia="zh-CN"/>
              </w:rPr>
              <w:t>2</w:t>
            </w:r>
            <w:r>
              <w:t>0 days from publication in the Official Journal of the EU. Certain provisions will apply upon entry into force whereas other provisions are subject to different deferred application dates that will allow businesses to adapt to the changes.</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14B5218">
            <w:pPr>
              <w:spacing w:before="120" w:after="120"/>
              <w:rPr>
                <w:bCs/>
              </w:rPr>
            </w:pPr>
            <w:r>
              <w:rPr>
                <w:b/>
              </w:rPr>
              <w:t>Final date for comments:</w:t>
            </w:r>
            <w:r>
              <w:t xml:space="preserve"> 14 October 2025 (90 days from notification)</w:t>
            </w:r>
          </w:p>
          <w:p w14:paraId="0AD2A7A3">
            <w:pPr>
              <w:tabs>
                <w:tab w:val="left" w:pos="1418"/>
                <w:tab w:val="left" w:pos="2127"/>
                <w:tab w:val="left" w:pos="2835"/>
                <w:tab w:val="left" w:pos="3402"/>
              </w:tabs>
              <w:spacing w:before="120" w:after="120"/>
              <w:rPr>
                <w:b/>
                <w:bCs/>
              </w:rPr>
            </w:pPr>
            <w:r>
              <w:t xml:space="preserve"> </w:t>
            </w:r>
          </w:p>
          <w:p w14:paraId="6C80D5F9">
            <w:pPr>
              <w:spacing w:before="120" w:after="120"/>
            </w:pPr>
            <w:r>
              <w:rPr>
                <w:b/>
                <w:bCs/>
              </w:rPr>
              <w:t>Contact details of agency or authority designated to handle comments regarding the notification:</w:t>
            </w:r>
            <w:r>
              <w:t xml:space="preserve"> </w:t>
            </w:r>
          </w:p>
          <w:p w14:paraId="259DACDE">
            <w:pPr>
              <w:rPr>
                <w:lang w:val="fr-CH"/>
              </w:rPr>
            </w:pPr>
            <w:r>
              <w:rPr>
                <w:lang w:val="fr-CH"/>
              </w:rPr>
              <w:t>European Commission,</w:t>
            </w:r>
          </w:p>
          <w:p w14:paraId="2CFD7A6B">
            <w:pPr>
              <w:rPr>
                <w:lang w:val="fr-CH"/>
              </w:rPr>
            </w:pPr>
            <w:r>
              <w:rPr>
                <w:lang w:val="fr-CH"/>
              </w:rPr>
              <w:t>EU-TBT Enquiry Point,</w:t>
            </w:r>
          </w:p>
          <w:p w14:paraId="134E3670">
            <w:pPr>
              <w:rPr>
                <w:lang w:val="fr-CH"/>
              </w:rPr>
            </w:pPr>
            <w:r>
              <w:rPr>
                <w:lang w:val="fr-CH"/>
              </w:rPr>
              <w:t>Fax: + (32) 2 299 8043,</w:t>
            </w:r>
          </w:p>
          <w:p w14:paraId="60BB903B">
            <w:pPr>
              <w:rPr>
                <w:rFonts w:hint="eastAsia" w:eastAsia="宋体"/>
                <w:lang w:eastAsia="zh-CN"/>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5480829F">
            <w:pPr>
              <w:pBdr>
                <w:top w:val="none" w:color="auto" w:sz="0" w:space="4"/>
              </w:pBdr>
              <w:rPr>
                <w:iCs/>
              </w:rPr>
            </w:pPr>
            <w:r>
              <w:fldChar w:fldCharType="begin"/>
            </w:r>
            <w:r>
              <w:instrText xml:space="preserve"> HYPERLINK "https://members.wto.org/crnattachments/2025/TBT/EEC/25_04626_00_e.pdf" \t "_blank" </w:instrText>
            </w:r>
            <w:r>
              <w:fldChar w:fldCharType="separate"/>
            </w:r>
            <w:r>
              <w:rPr>
                <w:iCs/>
                <w:color w:val="0000FF"/>
                <w:u w:val="single"/>
              </w:rPr>
              <w:t>https://members.wto.org/crnattachments/2025/TBT/EEC/25_04626_00_e.pdf</w:t>
            </w:r>
            <w:r>
              <w:rPr>
                <w:iCs/>
                <w:color w:val="0000FF"/>
                <w:u w:val="single"/>
              </w:rPr>
              <w:fldChar w:fldCharType="end"/>
            </w:r>
          </w:p>
          <w:p w14:paraId="611FEE31">
            <w:pPr>
              <w:pBdr>
                <w:bottom w:val="none" w:color="auto" w:sz="0" w:space="4"/>
              </w:pBdr>
              <w:rPr>
                <w:iCs/>
              </w:rPr>
            </w:pPr>
            <w:r>
              <w:fldChar w:fldCharType="begin"/>
            </w:r>
            <w:r>
              <w:instrText xml:space="preserve"> HYPERLINK "https://members.wto.org/crnattachments/2025/TBT/EEC/25_04626_01_e.pdf" \t "_blank" </w:instrText>
            </w:r>
            <w:r>
              <w:fldChar w:fldCharType="separate"/>
            </w:r>
            <w:r>
              <w:rPr>
                <w:iCs/>
                <w:color w:val="0000FF"/>
                <w:u w:val="single"/>
              </w:rPr>
              <w:t>https://members.wto.org/crnattachments/2025/TBT/EEC/25_04626_01_e.pdf</w:t>
            </w:r>
            <w:r>
              <w:rPr>
                <w:iCs/>
                <w:color w:val="0000FF"/>
                <w:u w:val="single"/>
              </w:rPr>
              <w:fldChar w:fldCharType="end"/>
            </w:r>
          </w:p>
          <w:p w14:paraId="2101C53D">
            <w:pPr>
              <w:rPr>
                <w:iCs/>
              </w:rPr>
            </w:pPr>
            <w:r>
              <w:fldChar w:fldCharType="begin"/>
            </w:r>
            <w:r>
              <w:instrText xml:space="preserve"> HYPERLINK "https://eur-lex.europa.eu/legal-content/EN/TXT/?uri=COM%3A2025%3A0531%3AFIN" \t "_blank" </w:instrText>
            </w:r>
            <w:r>
              <w:fldChar w:fldCharType="separate"/>
            </w:r>
            <w:r>
              <w:rPr>
                <w:iCs/>
                <w:color w:val="0000FF"/>
                <w:u w:val="single"/>
              </w:rPr>
              <w:t>https://eur-lex.europa.eu/legal-content/EN/TXT/?uri=COM%3A2025%3A0531%3AFIN</w:t>
            </w:r>
            <w:r>
              <w:rPr>
                <w:iCs/>
                <w:color w:val="0000FF"/>
                <w:u w:val="single"/>
              </w:rPr>
              <w:fldChar w:fldCharType="end"/>
            </w:r>
          </w:p>
          <w:p w14:paraId="54A54348">
            <w:pPr>
              <w:pBdr>
                <w:bottom w:val="none" w:color="auto" w:sz="0" w:space="4"/>
              </w:pBdr>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76"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8</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bmkDate"/>
          <w:bookmarkStart w:id="3" w:name="spsDateDistribution"/>
          <w:r>
            <w:rPr>
              <w:rFonts w:hint="eastAsia" w:eastAsia="宋体"/>
              <w:szCs w:val="16"/>
              <w:lang w:val="en-US" w:eastAsia="zh-CN"/>
            </w:rPr>
            <w:t>16</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4557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rFonts w:hint="eastAsia" w:eastAsia="宋体"/>
              <w:szCs w:val="16"/>
              <w:lang w:eastAsia="zh-CN"/>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bookmarkEnd w:id="5"/>
          <w:r>
            <w:rPr>
              <w:rFonts w:hint="eastAsia" w:eastAsia="宋体"/>
              <w:bCs/>
              <w:szCs w:val="16"/>
              <w:lang w:val="en-US" w:eastAsia="zh-CN"/>
            </w:rPr>
            <w:t>3</w:t>
          </w:r>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05215F28"/>
    <w:rsid w:val="30C41932"/>
    <w:rsid w:val="31A21B58"/>
    <w:rsid w:val="39210DA9"/>
    <w:rsid w:val="3B971DA2"/>
    <w:rsid w:val="553158DD"/>
    <w:rsid w:val="558F0311"/>
    <w:rsid w:val="566B78A2"/>
    <w:rsid w:val="7A5C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714</Words>
  <Characters>4373</Characters>
  <Lines>21</Lines>
  <Paragraphs>6</Paragraphs>
  <TotalTime>0</TotalTime>
  <ScaleCrop>false</ScaleCrop>
  <LinksUpToDate>false</LinksUpToDate>
  <CharactersWithSpaces>5042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2025-07-16T14:36:34Z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