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5EDB72">
      <w:pPr>
        <w:pStyle w:val="84"/>
        <w:rPr>
          <w:caps w:val="0"/>
          <w:kern w:val="0"/>
        </w:rPr>
      </w:pPr>
      <w:r>
        <w:rPr>
          <w:caps w:val="0"/>
          <w:kern w:val="0"/>
        </w:rPr>
        <w:t>NOTIFICATION</w:t>
      </w:r>
    </w:p>
    <w:p w14:paraId="75159A80">
      <w:pPr>
        <w:jc w:val="center"/>
      </w:pPr>
      <w:r>
        <w:t>The following notification is being circulated in accordance with Article 10.6</w:t>
      </w:r>
    </w:p>
    <w:p w14:paraId="58D50487"/>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7E122AD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7F1B9BC3">
            <w:pPr>
              <w:spacing w:before="120" w:after="120"/>
              <w:jc w:val="left"/>
            </w:pPr>
            <w:r>
              <w:rPr>
                <w:b/>
              </w:rPr>
              <w:t>1.</w:t>
            </w:r>
          </w:p>
        </w:tc>
        <w:tc>
          <w:tcPr>
            <w:tcW w:w="8546" w:type="dxa"/>
            <w:tcBorders>
              <w:bottom w:val="single" w:color="auto" w:sz="6" w:space="0"/>
            </w:tcBorders>
            <w:shd w:val="clear" w:color="auto" w:fill="auto"/>
          </w:tcPr>
          <w:p w14:paraId="6133772E">
            <w:pPr>
              <w:spacing w:before="120" w:after="120"/>
            </w:pPr>
            <w:r>
              <w:rPr>
                <w:b/>
              </w:rPr>
              <w:t>Notifying Member:</w:t>
            </w:r>
            <w:r>
              <w:t xml:space="preserve"> </w:t>
            </w:r>
            <w:r>
              <w:rPr>
                <w:u w:val="single"/>
              </w:rPr>
              <w:t>EUROPEAN UNION</w:t>
            </w:r>
          </w:p>
          <w:p w14:paraId="0E701CEB">
            <w:pPr>
              <w:spacing w:after="120"/>
            </w:pPr>
            <w:r>
              <w:rPr>
                <w:b/>
              </w:rPr>
              <w:t>If applicable, name of local government involved (Article 3.2 and 7.2):</w:t>
            </w:r>
            <w:r>
              <w:t xml:space="preserve"> </w:t>
            </w:r>
          </w:p>
        </w:tc>
      </w:tr>
      <w:tr w14:paraId="26F25BB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A02D1FA">
            <w:pPr>
              <w:spacing w:before="120" w:after="120"/>
              <w:jc w:val="left"/>
            </w:pPr>
            <w:r>
              <w:rPr>
                <w:b/>
              </w:rPr>
              <w:t>2.</w:t>
            </w:r>
          </w:p>
        </w:tc>
        <w:tc>
          <w:tcPr>
            <w:tcW w:w="8546" w:type="dxa"/>
            <w:tcBorders>
              <w:top w:val="single" w:color="auto" w:sz="6" w:space="0"/>
              <w:bottom w:val="single" w:color="auto" w:sz="6" w:space="0"/>
            </w:tcBorders>
            <w:shd w:val="clear" w:color="auto" w:fill="auto"/>
          </w:tcPr>
          <w:p w14:paraId="793E2322">
            <w:pPr>
              <w:spacing w:before="120" w:after="120"/>
            </w:pPr>
            <w:r>
              <w:rPr>
                <w:b/>
              </w:rPr>
              <w:t>Agency responsible:</w:t>
            </w:r>
            <w:r>
              <w:t xml:space="preserve"> </w:t>
            </w:r>
          </w:p>
          <w:p w14:paraId="3A720BD6">
            <w:r>
              <w:t>European Commission</w:t>
            </w:r>
          </w:p>
          <w:p w14:paraId="443CEC28">
            <w:r>
              <w:t>EU-TBT Enquiry Point,</w:t>
            </w:r>
          </w:p>
          <w:p w14:paraId="703C8515">
            <w:r>
              <w:t>Fax: +(32) 2299 8043,</w:t>
            </w:r>
          </w:p>
          <w:p w14:paraId="5CCA6C91">
            <w:r>
              <w:t xml:space="preserve">E-mail: </w:t>
            </w:r>
            <w:r>
              <w:fldChar w:fldCharType="begin"/>
            </w:r>
            <w:r>
              <w:instrText xml:space="preserve"> HYPERLINK "mailto:grow-eu-tbt@ec.europa.eu" </w:instrText>
            </w:r>
            <w:r>
              <w:fldChar w:fldCharType="separate"/>
            </w:r>
            <w:r>
              <w:rPr>
                <w:color w:val="0000FF"/>
                <w:u w:val="single"/>
              </w:rPr>
              <w:t>grow-eu-tbt@ec.europa.eu</w:t>
            </w:r>
            <w:r>
              <w:rPr>
                <w:color w:val="0000FF"/>
                <w:u w:val="single"/>
              </w:rPr>
              <w:fldChar w:fldCharType="end"/>
            </w:r>
          </w:p>
          <w:p w14:paraId="32FA47A3">
            <w:pPr>
              <w:spacing w:after="120"/>
              <w:rPr>
                <w:color w:val="0000FF"/>
                <w:u w:val="single"/>
              </w:rPr>
            </w:pPr>
            <w:r>
              <w:t xml:space="preserve">Website: </w:t>
            </w:r>
            <w:r>
              <w:fldChar w:fldCharType="begin"/>
            </w:r>
            <w:r>
              <w:instrText xml:space="preserve"> HYPERLINK "https://technical-barriers-trade.ec.europa.eu/en/home" \t "_blank" </w:instrText>
            </w:r>
            <w:r>
              <w:fldChar w:fldCharType="separate"/>
            </w:r>
            <w:r>
              <w:rPr>
                <w:color w:val="0000FF"/>
                <w:u w:val="single"/>
              </w:rPr>
              <w:t>https://technical-barriers-trade.ec.europa.eu/en/home</w:t>
            </w:r>
            <w:r>
              <w:rPr>
                <w:color w:val="0000FF"/>
                <w:u w:val="single"/>
              </w:rPr>
              <w:fldChar w:fldCharType="end"/>
            </w:r>
          </w:p>
          <w:p w14:paraId="1E57BCCA">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5DF401B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AB53626">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54EB3242">
            <w:pPr>
              <w:spacing w:before="120" w:after="120"/>
            </w:pPr>
            <w:r>
              <w:rPr>
                <w:b/>
              </w:rPr>
              <w:t>Notified under Article 2.9.2 [X], 2.10.1 [ ], 5.6.2 [</w:t>
            </w:r>
            <w:r>
              <w:rPr>
                <w:rFonts w:hint="eastAsia" w:eastAsia="宋体"/>
                <w:b/>
                <w:lang w:val="en-US" w:eastAsia="zh-CN"/>
              </w:rPr>
              <w:t xml:space="preserve"> </w:t>
            </w:r>
            <w:r>
              <w:rPr>
                <w:b/>
              </w:rPr>
              <w:t>], 5.7.1 [ ], 3.2 [ ], 7.2 [ ], other:</w:t>
            </w:r>
            <w:r>
              <w:t xml:space="preserve"> </w:t>
            </w:r>
          </w:p>
        </w:tc>
      </w:tr>
      <w:tr w14:paraId="0B7370E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4F3A1D9">
            <w:pPr>
              <w:spacing w:before="120" w:after="120"/>
              <w:jc w:val="left"/>
            </w:pPr>
            <w:r>
              <w:rPr>
                <w:b/>
              </w:rPr>
              <w:t>4.</w:t>
            </w:r>
          </w:p>
        </w:tc>
        <w:tc>
          <w:tcPr>
            <w:tcW w:w="8546" w:type="dxa"/>
            <w:tcBorders>
              <w:top w:val="single" w:color="auto" w:sz="6" w:space="0"/>
              <w:bottom w:val="single" w:color="auto" w:sz="6" w:space="0"/>
            </w:tcBorders>
            <w:shd w:val="clear" w:color="auto" w:fill="auto"/>
          </w:tcPr>
          <w:p w14:paraId="4194FB24">
            <w:pPr>
              <w:spacing w:before="120" w:after="120"/>
            </w:pPr>
            <w:r>
              <w:rPr>
                <w:b/>
              </w:rPr>
              <w:t>Products covered (HS or CCCN where applicable, otherwise national tariff heading. ICS numbers may be provided in addition, where applicable):</w:t>
            </w:r>
            <w:r>
              <w:t xml:space="preserve"> Cosmetics</w:t>
            </w:r>
          </w:p>
        </w:tc>
      </w:tr>
      <w:tr w14:paraId="5DEB814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6BF9CDE">
            <w:pPr>
              <w:spacing w:before="120" w:after="120"/>
              <w:jc w:val="left"/>
            </w:pPr>
            <w:r>
              <w:rPr>
                <w:b/>
              </w:rPr>
              <w:t>5.</w:t>
            </w:r>
          </w:p>
        </w:tc>
        <w:tc>
          <w:tcPr>
            <w:tcW w:w="8546" w:type="dxa"/>
            <w:tcBorders>
              <w:top w:val="single" w:color="auto" w:sz="6" w:space="0"/>
              <w:bottom w:val="single" w:color="auto" w:sz="6" w:space="0"/>
            </w:tcBorders>
            <w:shd w:val="clear" w:color="auto" w:fill="auto"/>
          </w:tcPr>
          <w:p w14:paraId="67D59AA6">
            <w:pPr>
              <w:spacing w:before="120" w:after="120"/>
            </w:pPr>
            <w:r>
              <w:rPr>
                <w:b/>
              </w:rPr>
              <w:t>Title, number of pages and language(s) of the notified document:</w:t>
            </w:r>
            <w:r>
              <w:t xml:space="preserve"> Draft Commission Regulation amending Regulation (EC) No 1223/2009 of the European Parliament and of the Council as regards the use of Benzyl Salicylate, Triphenyl Phosphate, Ammonium Silver Zinc Aluminium Silicate, Aluminium, water-soluble zinc salts, Acetylated Vetiver Oil, Citral, HC Blue No. 18, HC Red No. 18, HC Yellow No. 16, Hydroxypropyl p-phenylenediamine and its dihydrochloride salt, and DHHB in cosmetic products; (8 page(s), in English), (17 page(s), in English)</w:t>
            </w:r>
          </w:p>
        </w:tc>
      </w:tr>
      <w:tr w14:paraId="2DBCBA6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ECC3F51">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00A01980">
            <w:pPr>
              <w:spacing w:before="120" w:after="120"/>
              <w:rPr>
                <w:b/>
              </w:rPr>
            </w:pPr>
            <w:r>
              <w:rPr>
                <w:b/>
              </w:rPr>
              <w:t>Description of content:</w:t>
            </w:r>
            <w:r>
              <w:t xml:space="preserve"> The measures proposed by the draft Commission Regulation are part of the on-going and regular adaptations of the Annexes to Regulation (EC) No 1223/2009 (Cosmetics Regulation). Based on the latest scientific opinions by the Scientific Committee on Consumer Safety (SCCS) the proposed measures aim at: </w:t>
            </w:r>
          </w:p>
          <w:p w14:paraId="18FEE91E">
            <w:pPr>
              <w:spacing w:before="120" w:after="120"/>
            </w:pPr>
            <w:r>
              <w:t>- prohibiting in Annex II the use of 'Triphenyl Phosphate';</w:t>
            </w:r>
          </w:p>
          <w:p w14:paraId="0641DE6C">
            <w:pPr>
              <w:spacing w:before="120" w:after="120"/>
            </w:pPr>
            <w:r>
              <w:t>- establishing further restrictions in Annex III for 'Water-soluble zinc salts';</w:t>
            </w:r>
          </w:p>
          <w:p w14:paraId="27FE8EE5">
            <w:pPr>
              <w:spacing w:before="120" w:after="120"/>
            </w:pPr>
            <w:r>
              <w:t>- establishing further restrictions in Annex III for 'Citral, Geranial and Neral';</w:t>
            </w:r>
          </w:p>
          <w:p w14:paraId="6BBCA51E">
            <w:pPr>
              <w:spacing w:before="120" w:after="120"/>
            </w:pPr>
            <w:r>
              <w:t>- establishing further restrictions in Annex III for 'Benzyl Salicylate';</w:t>
            </w:r>
          </w:p>
          <w:p w14:paraId="3F1761C1">
            <w:pPr>
              <w:spacing w:before="120" w:after="120"/>
            </w:pPr>
            <w:r>
              <w:t>- establishing restrictions in Annex III for 'Aluminium containing ingredients';</w:t>
            </w:r>
          </w:p>
          <w:p w14:paraId="7F0DEFEB">
            <w:pPr>
              <w:spacing w:before="120" w:after="120"/>
            </w:pPr>
            <w:r>
              <w:t>- establishing restrictions in Annex III for 'Vetiveria zizanioides, ext., acetylated'</w:t>
            </w:r>
          </w:p>
          <w:p w14:paraId="54B9FD29">
            <w:pPr>
              <w:spacing w:before="120" w:after="120"/>
            </w:pPr>
            <w:r>
              <w:t>- establishing restrictions in Annex III for 'HC Blue 18', used as hair dye;</w:t>
            </w:r>
          </w:p>
          <w:p w14:paraId="7E31F238">
            <w:pPr>
              <w:spacing w:before="120" w:after="120"/>
            </w:pPr>
            <w:r>
              <w:t>- establishing restrictions in Annex III for 'Hydroxypropyl-p-phenylenediamine and Hydroxypropyl-p-phenylenediamine 2HCl (dihydrochloride salt)', used as hair dye;</w:t>
            </w:r>
          </w:p>
          <w:p w14:paraId="5D2656DD">
            <w:pPr>
              <w:spacing w:before="120" w:after="120"/>
            </w:pPr>
            <w:r>
              <w:t>- establishing restrictions in Annex III for 'HC Yellow No. 16', used as hair dye;</w:t>
            </w:r>
          </w:p>
          <w:p w14:paraId="22DF3454">
            <w:pPr>
              <w:spacing w:before="120" w:after="120"/>
            </w:pPr>
            <w:r>
              <w:t>- establishing restrictions in Annex III for 'HC Red No. 18', used as hair dye;</w:t>
            </w:r>
          </w:p>
          <w:p w14:paraId="67E73E66">
            <w:pPr>
              <w:spacing w:before="120" w:after="120"/>
            </w:pPr>
            <w:r>
              <w:t>- authorizing by listing in Annex V the substance 'Ammonium Silver Zinc Aluminum Silicate' for use as a preservative in cosmetic products; and</w:t>
            </w:r>
          </w:p>
          <w:p w14:paraId="018B9BCE">
            <w:pPr>
              <w:spacing w:before="120" w:after="120"/>
              <w:rPr>
                <w:b/>
              </w:rPr>
            </w:pPr>
            <w:r>
              <w:t>- establishing further restrictions in Annex VI for 'Diethylamino Hydroxy benzoyl Hexyl Benzoate (DHHB)', used as UV-filter.</w:t>
            </w:r>
          </w:p>
        </w:tc>
      </w:tr>
      <w:tr w14:paraId="53B5E55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C46BBAF">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150D3C01">
            <w:pPr>
              <w:spacing w:before="120" w:after="120"/>
              <w:rPr>
                <w:b/>
              </w:rPr>
            </w:pPr>
            <w:r>
              <w:rPr>
                <w:b/>
              </w:rPr>
              <w:t>Objective and rationale, including the nature of urgent problems where applicable:</w:t>
            </w:r>
            <w:r>
              <w:t xml:space="preserve"> Protection of human health or safety</w:t>
            </w:r>
          </w:p>
        </w:tc>
      </w:tr>
      <w:tr w14:paraId="4F17F7F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42BA9AD">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1A190ED8">
            <w:pPr>
              <w:spacing w:before="120" w:after="120"/>
              <w:rPr>
                <w:bCs/>
              </w:rPr>
            </w:pPr>
            <w:r>
              <w:rPr>
                <w:b/>
              </w:rPr>
              <w:t>Relevant documents:</w:t>
            </w:r>
            <w:r>
              <w:t xml:space="preserve"> </w:t>
            </w:r>
          </w:p>
          <w:p w14:paraId="6C0396E3">
            <w:pPr>
              <w:spacing w:before="120" w:after="120"/>
            </w:pPr>
            <w:r>
              <w:t>Regulation (EC) No 1223/2009 of the European Parliament and of the Council of 30 November 2009 on Cosmetic Products (</w:t>
            </w:r>
            <w:r>
              <w:rPr>
                <w:i/>
                <w:iCs/>
              </w:rPr>
              <w:t>OJ L 342, 22.12.2009, p. 59-209</w:t>
            </w:r>
            <w:r>
              <w:t>)</w:t>
            </w:r>
          </w:p>
          <w:p w14:paraId="3277AABE">
            <w:pPr>
              <w:spacing w:before="120" w:after="120"/>
            </w:pPr>
            <w:r>
              <w:fldChar w:fldCharType="begin"/>
            </w:r>
            <w:r>
              <w:instrText xml:space="preserve"> HYPERLINK "http://eur-lex.europa.eu/legal-content/EN/TXT/?qid=1415977955828&amp;uri=CELEX:32009R1223" </w:instrText>
            </w:r>
            <w:r>
              <w:fldChar w:fldCharType="separate"/>
            </w:r>
            <w:r>
              <w:rPr>
                <w:color w:val="0000FF"/>
                <w:u w:val="single"/>
              </w:rPr>
              <w:t>http://eur-lex.europa.eu/legal-content/EN/TXT/?qid=1415977955828&amp;uri=CELEX:32009R1223</w:t>
            </w:r>
            <w:r>
              <w:rPr>
                <w:color w:val="0000FF"/>
                <w:u w:val="single"/>
              </w:rPr>
              <w:fldChar w:fldCharType="end"/>
            </w:r>
          </w:p>
        </w:tc>
      </w:tr>
      <w:tr w14:paraId="67E9037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6590E452">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029407F7">
            <w:pPr>
              <w:spacing w:before="120" w:after="120"/>
              <w:rPr>
                <w:rFonts w:hint="default" w:eastAsia="宋体"/>
                <w:lang w:val="en-US" w:eastAsia="zh-CN"/>
              </w:rPr>
            </w:pPr>
            <w:r>
              <w:rPr>
                <w:b/>
              </w:rPr>
              <w:t>Proposed date of adoption:</w:t>
            </w:r>
            <w:r>
              <w:t xml:space="preserve"> First quarter 2026</w:t>
            </w:r>
          </w:p>
          <w:p w14:paraId="040250F9">
            <w:pPr>
              <w:spacing w:after="120"/>
            </w:pPr>
            <w:r>
              <w:rPr>
                <w:b/>
              </w:rPr>
              <w:t>Proposed date of entry into force:</w:t>
            </w:r>
            <w:r>
              <w:t xml:space="preserve"> 20 days from publication in the Official Journal of the EU</w:t>
            </w:r>
          </w:p>
        </w:tc>
      </w:tr>
      <w:tr w14:paraId="725C85E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1363CF0">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0AD2A7A3">
            <w:pPr>
              <w:tabs>
                <w:tab w:val="left" w:pos="1418"/>
                <w:tab w:val="left" w:pos="2127"/>
                <w:tab w:val="left" w:pos="2835"/>
                <w:tab w:val="left" w:pos="3402"/>
              </w:tabs>
              <w:spacing w:before="120" w:after="120"/>
              <w:rPr>
                <w:b/>
                <w:bCs/>
              </w:rPr>
            </w:pPr>
            <w:r>
              <w:rPr>
                <w:b/>
              </w:rPr>
              <w:t>Final date for comments:</w:t>
            </w:r>
            <w:r>
              <w:t xml:space="preserve"> 14 September 2025</w:t>
            </w:r>
            <w:r>
              <w:rPr>
                <w:rFonts w:hint="eastAsia" w:eastAsia="宋体"/>
                <w:lang w:eastAsia="zh-CN"/>
              </w:rPr>
              <w:t>，</w:t>
            </w:r>
            <w:r>
              <w:rPr>
                <w:b/>
                <w:bCs/>
              </w:rPr>
              <w:t>[X] 60 days from notification</w:t>
            </w:r>
            <w:r>
              <w:t xml:space="preserve"> </w:t>
            </w:r>
          </w:p>
          <w:p w14:paraId="6C80D5F9">
            <w:pPr>
              <w:spacing w:before="120" w:after="120"/>
            </w:pPr>
            <w:r>
              <w:rPr>
                <w:b/>
                <w:bCs/>
              </w:rPr>
              <w:t>Contact details of agency or authority designated to handle comments regarding the notification:</w:t>
            </w:r>
            <w:r>
              <w:t xml:space="preserve"> </w:t>
            </w:r>
          </w:p>
          <w:p w14:paraId="259DACDE">
            <w:pPr>
              <w:rPr>
                <w:lang w:val="fr-CH"/>
              </w:rPr>
            </w:pPr>
            <w:r>
              <w:rPr>
                <w:lang w:val="fr-CH"/>
              </w:rPr>
              <w:t>European Commission,</w:t>
            </w:r>
          </w:p>
          <w:p w14:paraId="2CFD7A6B">
            <w:pPr>
              <w:rPr>
                <w:lang w:val="fr-CH"/>
              </w:rPr>
            </w:pPr>
            <w:r>
              <w:rPr>
                <w:lang w:val="fr-CH"/>
              </w:rPr>
              <w:t>EU-TBT Enquiry Point,</w:t>
            </w:r>
          </w:p>
          <w:p w14:paraId="134E3670">
            <w:pPr>
              <w:rPr>
                <w:lang w:val="fr-CH"/>
              </w:rPr>
            </w:pPr>
            <w:r>
              <w:rPr>
                <w:lang w:val="fr-CH"/>
              </w:rPr>
              <w:t>Fax: + (32) 2 299 8043,</w:t>
            </w:r>
          </w:p>
          <w:p w14:paraId="60BB903B">
            <w:pPr>
              <w:rPr>
                <w:rFonts w:hint="eastAsia" w:eastAsia="宋体"/>
                <w:lang w:eastAsia="zh-CN"/>
              </w:rPr>
            </w:pPr>
            <w:r>
              <w:rPr>
                <w:lang w:val="fr-CH"/>
              </w:rPr>
              <w:t xml:space="preserve">E-mail: </w:t>
            </w:r>
            <w:r>
              <w:fldChar w:fldCharType="begin"/>
            </w:r>
            <w:r>
              <w:instrText xml:space="preserve"> HYPERLINK "mailto:grow-eu-tbt@ec.europa.eu" </w:instrText>
            </w:r>
            <w:r>
              <w:fldChar w:fldCharType="separate"/>
            </w:r>
            <w:r>
              <w:rPr>
                <w:color w:val="0000FF"/>
                <w:u w:val="single"/>
                <w:lang w:val="fr-CH"/>
              </w:rPr>
              <w:t>grow-eu-tbt@ec.europa.eu</w:t>
            </w:r>
            <w:r>
              <w:rPr>
                <w:color w:val="0000FF"/>
                <w:u w:val="single"/>
                <w:lang w:val="fr-CH"/>
              </w:rPr>
              <w:fldChar w:fldCharType="end"/>
            </w:r>
            <w:bookmarkStart w:id="10" w:name="_GoBack"/>
            <w:bookmarkEnd w:id="10"/>
          </w:p>
        </w:tc>
      </w:tr>
      <w:tr w14:paraId="1CA1BDF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6289E527">
            <w:pPr>
              <w:keepNext/>
              <w:keepLines/>
              <w:spacing w:before="120" w:after="120"/>
              <w:jc w:val="left"/>
              <w:rPr>
                <w:b/>
              </w:rPr>
            </w:pPr>
            <w:r>
              <w:rPr>
                <w:b/>
              </w:rPr>
              <w:t>11.</w:t>
            </w:r>
          </w:p>
        </w:tc>
        <w:tc>
          <w:tcPr>
            <w:tcW w:w="8546" w:type="dxa"/>
            <w:tcBorders>
              <w:top w:val="single" w:color="auto" w:sz="6" w:space="0"/>
            </w:tcBorders>
            <w:shd w:val="clear" w:color="auto" w:fill="auto"/>
          </w:tcPr>
          <w:p w14:paraId="5F28FB48">
            <w:pPr>
              <w:keepNext/>
              <w:keepLines/>
              <w:spacing w:before="120" w:after="120"/>
            </w:pPr>
            <w:r>
              <w:rPr>
                <w:b/>
              </w:rPr>
              <w:t>Texts available from: National enquiry point [ ] or address, telephone and fax numbers and email and website addresses, if available, of other body:</w:t>
            </w:r>
            <w:r>
              <w:rPr>
                <w:bCs/>
              </w:rPr>
              <w:t xml:space="preserve"> </w:t>
            </w:r>
          </w:p>
          <w:p w14:paraId="19C8A8BD">
            <w:pPr>
              <w:rPr>
                <w:rFonts w:hint="eastAsia" w:eastAsia="宋体"/>
                <w:iCs/>
                <w:lang w:eastAsia="zh-CN"/>
              </w:rPr>
            </w:pPr>
            <w:r>
              <w:rPr>
                <w:iCs/>
              </w:rPr>
              <w:t>European Commission</w:t>
            </w:r>
            <w:r>
              <w:rPr>
                <w:rFonts w:hint="eastAsia" w:eastAsia="宋体"/>
                <w:iCs/>
                <w:lang w:eastAsia="zh-CN"/>
              </w:rPr>
              <w:t>，</w:t>
            </w:r>
          </w:p>
          <w:p w14:paraId="41FE15EE">
            <w:pPr>
              <w:rPr>
                <w:rFonts w:hint="eastAsia" w:eastAsia="宋体"/>
                <w:iCs/>
                <w:lang w:eastAsia="zh-CN"/>
              </w:rPr>
            </w:pPr>
            <w:r>
              <w:rPr>
                <w:iCs/>
              </w:rPr>
              <w:t>EU-TBT Enquiry Point</w:t>
            </w:r>
            <w:r>
              <w:rPr>
                <w:rFonts w:hint="eastAsia" w:eastAsia="宋体"/>
                <w:iCs/>
                <w:lang w:eastAsia="zh-CN"/>
              </w:rPr>
              <w:t>，</w:t>
            </w:r>
          </w:p>
          <w:p w14:paraId="4B9C18F0">
            <w:pPr>
              <w:rPr>
                <w:rFonts w:hint="eastAsia" w:eastAsia="宋体"/>
                <w:iCs/>
                <w:lang w:eastAsia="zh-CN"/>
              </w:rPr>
            </w:pPr>
            <w:r>
              <w:rPr>
                <w:iCs/>
              </w:rPr>
              <w:t>Fax: + (32) 2299 8043</w:t>
            </w:r>
            <w:r>
              <w:rPr>
                <w:rFonts w:hint="eastAsia" w:eastAsia="宋体"/>
                <w:iCs/>
                <w:lang w:eastAsia="zh-CN"/>
              </w:rPr>
              <w:t>，</w:t>
            </w:r>
          </w:p>
          <w:p w14:paraId="3E7581FC">
            <w:pPr>
              <w:rPr>
                <w:iCs/>
              </w:rPr>
            </w:pPr>
            <w:r>
              <w:rPr>
                <w:iCs/>
              </w:rPr>
              <w:t xml:space="preserve">E-mail: </w:t>
            </w:r>
            <w:r>
              <w:fldChar w:fldCharType="begin"/>
            </w:r>
            <w:r>
              <w:instrText xml:space="preserve"> HYPERLINK "mailto:grow-eu-tbt@ec.europa.eu" </w:instrText>
            </w:r>
            <w:r>
              <w:fldChar w:fldCharType="separate"/>
            </w:r>
            <w:r>
              <w:rPr>
                <w:iCs/>
                <w:color w:val="0000FF"/>
                <w:u w:val="single"/>
              </w:rPr>
              <w:t>grow-eu-tbt@ec.europa.eu</w:t>
            </w:r>
            <w:r>
              <w:rPr>
                <w:iCs/>
                <w:color w:val="0000FF"/>
                <w:u w:val="single"/>
              </w:rPr>
              <w:fldChar w:fldCharType="end"/>
            </w:r>
          </w:p>
          <w:p w14:paraId="5EDEBAA0">
            <w:pPr>
              <w:pBdr>
                <w:top w:val="none" w:color="auto" w:sz="0" w:space="4"/>
                <w:bottom w:val="none" w:color="auto" w:sz="0" w:space="4"/>
              </w:pBdr>
              <w:rPr>
                <w:iCs/>
                <w:color w:val="0000FF"/>
                <w:u w:val="single"/>
              </w:rPr>
            </w:pPr>
            <w:r>
              <w:rPr>
                <w:iCs/>
              </w:rPr>
              <w:t xml:space="preserve">The text is available on the Website: </w:t>
            </w:r>
            <w:r>
              <w:fldChar w:fldCharType="begin"/>
            </w:r>
            <w:r>
              <w:instrText xml:space="preserve"> HYPERLINK "https://technical-barriers-trade.ec.europa.eu/en/home" \t "_blank" </w:instrText>
            </w:r>
            <w:r>
              <w:fldChar w:fldCharType="separate"/>
            </w:r>
            <w:r>
              <w:rPr>
                <w:iCs/>
                <w:color w:val="0000FF"/>
                <w:u w:val="single"/>
              </w:rPr>
              <w:t>https://technical-barriers-trade.ec.europa.eu/en/home</w:t>
            </w:r>
            <w:r>
              <w:rPr>
                <w:iCs/>
                <w:color w:val="0000FF"/>
                <w:u w:val="single"/>
              </w:rPr>
              <w:fldChar w:fldCharType="end"/>
            </w:r>
          </w:p>
          <w:p w14:paraId="3B53E9AC">
            <w:pPr>
              <w:pBdr>
                <w:top w:val="none" w:color="auto" w:sz="0" w:space="4"/>
                <w:bottom w:val="none" w:color="auto" w:sz="0" w:space="4"/>
              </w:pBdr>
              <w:rPr>
                <w:iCs/>
                <w:color w:val="0000FF"/>
                <w:u w:val="single"/>
              </w:rPr>
            </w:pPr>
          </w:p>
          <w:p w14:paraId="2B785DFC">
            <w:pPr>
              <w:pBdr>
                <w:top w:val="none" w:color="auto" w:sz="0" w:space="4"/>
              </w:pBdr>
              <w:rPr>
                <w:iCs/>
              </w:rPr>
            </w:pPr>
            <w:r>
              <w:fldChar w:fldCharType="begin"/>
            </w:r>
            <w:r>
              <w:instrText xml:space="preserve"> HYPERLINK "https://members.wto.org/crnattachments/2025/TBT/EEC/25_04620_00_e.pdf" \t "_blank" </w:instrText>
            </w:r>
            <w:r>
              <w:fldChar w:fldCharType="separate"/>
            </w:r>
            <w:r>
              <w:rPr>
                <w:iCs/>
                <w:color w:val="0000FF"/>
                <w:u w:val="single"/>
              </w:rPr>
              <w:t>https://members.wto.org/crnattachments/2025/TBT/EEC/25_04620_00_e.pdf</w:t>
            </w:r>
            <w:r>
              <w:rPr>
                <w:iCs/>
                <w:color w:val="0000FF"/>
                <w:u w:val="single"/>
              </w:rPr>
              <w:fldChar w:fldCharType="end"/>
            </w:r>
          </w:p>
          <w:p w14:paraId="2C5F1F18">
            <w:pPr>
              <w:pBdr>
                <w:bottom w:val="none" w:color="auto" w:sz="0" w:space="4"/>
              </w:pBdr>
              <w:rPr>
                <w:bCs/>
              </w:rPr>
            </w:pPr>
            <w:r>
              <w:fldChar w:fldCharType="begin"/>
            </w:r>
            <w:r>
              <w:instrText xml:space="preserve"> HYPERLINK "https://members.wto.org/crnattachments/2025/TBT/EEC/25_04620_01_e.pdf" \t "_blank" </w:instrText>
            </w:r>
            <w:r>
              <w:fldChar w:fldCharType="separate"/>
            </w:r>
            <w:r>
              <w:rPr>
                <w:iCs/>
                <w:color w:val="0000FF"/>
                <w:u w:val="single"/>
              </w:rPr>
              <w:t>https://members.wto.org/crnattachments/2025/TBT/EEC/25_04620_01_e.pdf</w:t>
            </w:r>
            <w:r>
              <w:rPr>
                <w:iCs/>
                <w:color w:val="0000FF"/>
                <w:u w:val="single"/>
              </w:rPr>
              <w:fldChar w:fldCharType="end"/>
            </w:r>
          </w:p>
        </w:tc>
      </w:tr>
    </w:tbl>
    <w:p w14:paraId="04010BB1"/>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E274E">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6DA762">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9CB61B">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1CA039">
    <w:pPr>
      <w:pStyle w:val="58"/>
      <w:pBdr>
        <w:bottom w:val="single" w:color="auto" w:sz="4" w:space="1"/>
      </w:pBdr>
      <w:tabs>
        <w:tab w:val="clear" w:pos="4513"/>
        <w:tab w:val="clear" w:pos="9027"/>
      </w:tabs>
      <w:jc w:val="center"/>
      <w:rPr>
        <w:rFonts w:hint="eastAsia" w:eastAsia="宋体"/>
        <w:lang w:eastAsia="zh-CN"/>
      </w:rPr>
    </w:pPr>
    <w:bookmarkStart w:id="9" w:name="spsSymbolHeader"/>
    <w:r>
      <w:t>G/TBT/N/EU/114</w:t>
    </w:r>
    <w:bookmarkEnd w:id="9"/>
    <w:r>
      <w:rPr>
        <w:rFonts w:hint="eastAsia" w:eastAsia="宋体"/>
        <w:lang w:val="en-US" w:eastAsia="zh-CN"/>
      </w:rPr>
      <w:t>3</w:t>
    </w:r>
  </w:p>
  <w:p w14:paraId="6E3B6872">
    <w:pPr>
      <w:pStyle w:val="58"/>
      <w:pBdr>
        <w:bottom w:val="single" w:color="auto" w:sz="4" w:space="1"/>
      </w:pBdr>
      <w:tabs>
        <w:tab w:val="clear" w:pos="4513"/>
        <w:tab w:val="clear" w:pos="9027"/>
      </w:tabs>
      <w:jc w:val="center"/>
    </w:pPr>
  </w:p>
  <w:p w14:paraId="7822D106">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6AB9DDDF">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A30DA">
    <w:pPr>
      <w:pStyle w:val="58"/>
      <w:pBdr>
        <w:bottom w:val="single" w:color="auto" w:sz="4" w:space="1"/>
      </w:pBdr>
      <w:tabs>
        <w:tab w:val="clear" w:pos="4513"/>
        <w:tab w:val="clear" w:pos="9027"/>
      </w:tabs>
      <w:jc w:val="center"/>
    </w:pPr>
    <w:r>
      <w:t>tbtSymbol</w:t>
    </w:r>
  </w:p>
  <w:p w14:paraId="7100E3A6">
    <w:pPr>
      <w:pStyle w:val="58"/>
      <w:pBdr>
        <w:bottom w:val="single" w:color="auto" w:sz="4" w:space="1"/>
      </w:pBdr>
      <w:tabs>
        <w:tab w:val="clear" w:pos="4513"/>
        <w:tab w:val="clear" w:pos="9027"/>
      </w:tabs>
      <w:jc w:val="center"/>
    </w:pPr>
  </w:p>
  <w:p w14:paraId="4A2A49F2">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53639F75">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4F45AD61">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1BFA45D4">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B55A271">
          <w:pPr>
            <w:jc w:val="right"/>
            <w:rPr>
              <w:b/>
              <w:color w:val="FF0000"/>
              <w:szCs w:val="16"/>
            </w:rPr>
          </w:pPr>
        </w:p>
      </w:tc>
    </w:tr>
    <w:bookmarkEnd w:id="0"/>
    <w:tr w14:paraId="77B9D054">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3F194478">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47648E74">
          <w:pPr>
            <w:jc w:val="right"/>
            <w:rPr>
              <w:b/>
              <w:szCs w:val="16"/>
            </w:rPr>
          </w:pPr>
        </w:p>
      </w:tc>
    </w:tr>
    <w:tr w14:paraId="662C890A">
      <w:tblPrEx>
        <w:tblCellMar>
          <w:top w:w="0" w:type="dxa"/>
          <w:left w:w="0" w:type="dxa"/>
          <w:bottom w:w="0" w:type="dxa"/>
          <w:right w:w="0" w:type="dxa"/>
        </w:tblCellMar>
      </w:tblPrEx>
      <w:trPr>
        <w:trHeight w:val="876" w:hRule="atLeast"/>
        <w:jc w:val="center"/>
      </w:trPr>
      <w:tc>
        <w:tcPr>
          <w:tcW w:w="3794" w:type="dxa"/>
          <w:vMerge w:val="continue"/>
          <w:shd w:val="clear" w:color="auto" w:fill="FFFFFF"/>
          <w:tcMar>
            <w:left w:w="108" w:type="dxa"/>
            <w:right w:w="108" w:type="dxa"/>
          </w:tcMar>
        </w:tcPr>
        <w:p w14:paraId="2E7A1EB4">
          <w:pPr>
            <w:jc w:val="left"/>
            <w:rPr>
              <w:lang w:eastAsia="en-GB"/>
            </w:rPr>
          </w:pPr>
        </w:p>
      </w:tc>
      <w:tc>
        <w:tcPr>
          <w:tcW w:w="5448" w:type="dxa"/>
          <w:gridSpan w:val="2"/>
          <w:shd w:val="clear" w:color="auto" w:fill="FFFFFF"/>
          <w:tcMar>
            <w:left w:w="108" w:type="dxa"/>
            <w:right w:w="108" w:type="dxa"/>
          </w:tcMar>
        </w:tcPr>
        <w:p w14:paraId="1DF8A05B">
          <w:pPr>
            <w:jc w:val="right"/>
            <w:rPr>
              <w:rFonts w:hint="eastAsia" w:eastAsia="宋体"/>
              <w:b/>
              <w:szCs w:val="16"/>
              <w:lang w:eastAsia="zh-CN"/>
            </w:rPr>
          </w:pPr>
          <w:bookmarkStart w:id="1" w:name="bmkSymbols"/>
          <w:r>
            <w:rPr>
              <w:b/>
              <w:szCs w:val="16"/>
            </w:rPr>
            <w:t>G/TBT/N/EU/114</w:t>
          </w:r>
          <w:bookmarkEnd w:id="1"/>
          <w:r>
            <w:rPr>
              <w:rFonts w:hint="eastAsia" w:eastAsia="宋体"/>
              <w:b/>
              <w:szCs w:val="16"/>
              <w:lang w:val="en-US" w:eastAsia="zh-CN"/>
            </w:rPr>
            <w:t>6</w:t>
          </w:r>
        </w:p>
      </w:tc>
    </w:tr>
    <w:tr w14:paraId="5F32F65C">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592377F"/>
      </w:tc>
      <w:tc>
        <w:tcPr>
          <w:tcW w:w="5448" w:type="dxa"/>
          <w:gridSpan w:val="2"/>
          <w:shd w:val="clear" w:color="auto" w:fill="FFFFFF"/>
          <w:tcMar>
            <w:left w:w="108" w:type="dxa"/>
            <w:right w:w="108" w:type="dxa"/>
          </w:tcMar>
          <w:vAlign w:val="center"/>
        </w:tcPr>
        <w:p w14:paraId="6567EE6F">
          <w:pPr>
            <w:jc w:val="right"/>
            <w:rPr>
              <w:szCs w:val="16"/>
            </w:rPr>
          </w:pPr>
          <w:bookmarkStart w:id="2" w:name="bmkDate"/>
          <w:bookmarkStart w:id="3" w:name="spsDateDistribution"/>
          <w:r>
            <w:rPr>
              <w:rFonts w:hint="eastAsia" w:eastAsia="宋体"/>
              <w:szCs w:val="16"/>
              <w:lang w:val="en-US" w:eastAsia="zh-CN"/>
            </w:rPr>
            <w:t>16</w:t>
          </w:r>
          <w:r>
            <w:rPr>
              <w:szCs w:val="16"/>
            </w:rPr>
            <w:t xml:space="preserve"> July 2025</w:t>
          </w:r>
          <w:bookmarkEnd w:id="2"/>
          <w:bookmarkEnd w:id="3"/>
        </w:p>
      </w:tc>
    </w:tr>
    <w:tr w14:paraId="48AC51C6">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4121FFB0">
          <w:pPr>
            <w:jc w:val="left"/>
            <w:rPr>
              <w:b/>
            </w:rPr>
          </w:pPr>
          <w:bookmarkStart w:id="4" w:name="bmkSerial"/>
          <w:r>
            <w:rPr>
              <w:b w:val="0"/>
              <w:color w:val="FF0000"/>
            </w:rPr>
            <w:t>(25-</w:t>
          </w:r>
          <w:r>
            <w:rPr>
              <w:rFonts w:hint="eastAsia" w:eastAsia="宋体"/>
              <w:b w:val="0"/>
              <w:color w:val="FF0000"/>
              <w:lang w:val="en-US" w:eastAsia="zh-CN"/>
            </w:rPr>
            <w:t>4555</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505ADBBA">
          <w:pPr>
            <w:jc w:val="right"/>
            <w:rPr>
              <w:rFonts w:hint="eastAsia" w:eastAsia="宋体"/>
              <w:szCs w:val="16"/>
              <w:lang w:eastAsia="zh-CN"/>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bookmarkEnd w:id="5"/>
          <w:r>
            <w:rPr>
              <w:rFonts w:hint="eastAsia" w:eastAsia="宋体"/>
              <w:bCs/>
              <w:szCs w:val="16"/>
              <w:lang w:val="en-US" w:eastAsia="zh-CN"/>
            </w:rPr>
            <w:t>2</w:t>
          </w:r>
        </w:p>
      </w:tc>
    </w:tr>
    <w:tr w14:paraId="10EAD700">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15CA05A7">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0247A0A7">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1C46D48D">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1447E"/>
    <w:rsid w:val="00623F9F"/>
    <w:rsid w:val="00643C1F"/>
    <w:rsid w:val="00655881"/>
    <w:rsid w:val="0066043C"/>
    <w:rsid w:val="006607BC"/>
    <w:rsid w:val="00672511"/>
    <w:rsid w:val="00674CCD"/>
    <w:rsid w:val="00682D50"/>
    <w:rsid w:val="006845EE"/>
    <w:rsid w:val="00685F53"/>
    <w:rsid w:val="0069259F"/>
    <w:rsid w:val="00696B74"/>
    <w:rsid w:val="006A72C8"/>
    <w:rsid w:val="006D6F16"/>
    <w:rsid w:val="006E4336"/>
    <w:rsid w:val="006F35A6"/>
    <w:rsid w:val="006F3CB4"/>
    <w:rsid w:val="006F5826"/>
    <w:rsid w:val="006F731C"/>
    <w:rsid w:val="00700181"/>
    <w:rsid w:val="00710140"/>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0139546B"/>
    <w:rsid w:val="05215F28"/>
    <w:rsid w:val="30C41932"/>
    <w:rsid w:val="31A21B58"/>
    <w:rsid w:val="553158DD"/>
    <w:rsid w:val="558F0311"/>
    <w:rsid w:val="7A5C31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uiPriority="99" w:name="HTML Cite"/>
    <w:lsdException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uiPriority w:val="1"/>
    <w:rPr>
      <w:rFonts w:ascii="Verdana" w:hAnsi="Verdana"/>
      <w:sz w:val="18"/>
      <w:szCs w:val="22"/>
      <w:lang w:val="en-GB"/>
    </w:rPr>
  </w:style>
  <w:style w:type="character" w:customStyle="1" w:styleId="261">
    <w:name w:val="Body Text 3 Char"/>
    <w:link w:val="32"/>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uiPriority w:val="6"/>
    <w:rPr>
      <w:rFonts w:ascii="Verdana" w:hAnsi="Verdana"/>
      <w:sz w:val="18"/>
      <w:szCs w:val="22"/>
      <w:lang w:val="en-GB"/>
    </w:rPr>
  </w:style>
  <w:style w:type="character" w:customStyle="1" w:styleId="264">
    <w:name w:val="Footnote Text Char"/>
    <w:link w:val="53"/>
    <w:uiPriority w:val="5"/>
    <w:rPr>
      <w:rFonts w:ascii="Verdana" w:hAnsi="Verdana"/>
      <w:sz w:val="16"/>
      <w:szCs w:val="18"/>
      <w:lang w:val="en-GB" w:eastAsia="en-GB"/>
    </w:rPr>
  </w:style>
  <w:style w:type="character" w:customStyle="1" w:styleId="265">
    <w:name w:val="Endnote Text Char"/>
    <w:link w:val="52"/>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uiPriority w:val="3"/>
    <w:rPr>
      <w:rFonts w:ascii="Verdana" w:hAnsi="Verdana"/>
      <w:sz w:val="18"/>
      <w:szCs w:val="18"/>
      <w:lang w:val="en-GB" w:eastAsia="en-GB"/>
    </w:rPr>
  </w:style>
  <w:style w:type="paragraph" w:customStyle="1" w:styleId="269">
    <w:name w:val="Footnote Quotation"/>
    <w:basedOn w:val="53"/>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uiPriority w:val="99"/>
    <w:rPr>
      <w:rFonts w:ascii="Tahoma" w:hAnsi="Tahoma" w:cs="Tahoma"/>
      <w:sz w:val="16"/>
      <w:szCs w:val="16"/>
      <w:lang w:val="en-GB"/>
    </w:rPr>
  </w:style>
  <w:style w:type="character" w:customStyle="1" w:styleId="279">
    <w:name w:val="Subtitle Char"/>
    <w:link w:val="65"/>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1644</Words>
  <Characters>9996</Characters>
  <Lines>21</Lines>
  <Paragraphs>6</Paragraphs>
  <TotalTime>0</TotalTime>
  <ScaleCrop>false</ScaleCrop>
  <LinksUpToDate>false</LinksUpToDate>
  <CharactersWithSpaces>11577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2025-06-12T13:24:00Z</dcterms:created>
  <dc:creator>mark louie medidas</dc:creator>
  <dc:description>LDIMD - DTU</dc:description>
  <cp:lastModifiedBy> 譞譞</cp:lastModifiedBy>
  <dcterms:modified xsi:type="dcterms:W3CDTF">2025-07-16T14:27:24Z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CB7A35CD87CE4A90B5BBAD87D87BCB47_12</vt:lpwstr>
  </property>
</Properties>
</file>