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FEEF0">
      <w:pPr>
        <w:pStyle w:val="84"/>
        <w:rPr>
          <w:caps w:val="0"/>
          <w:kern w:val="0"/>
        </w:rPr>
      </w:pPr>
      <w:r>
        <w:rPr>
          <w:caps w:val="0"/>
          <w:kern w:val="0"/>
        </w:rPr>
        <w:t>NOTIFICATION</w:t>
      </w:r>
    </w:p>
    <w:p w14:paraId="2BCE3678">
      <w:pPr>
        <w:jc w:val="center"/>
      </w:pPr>
      <w:r>
        <w:t>The following notification is being circulated in accordance with Article 10.6</w:t>
      </w:r>
    </w:p>
    <w:p w14:paraId="210C65CC"/>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4F9F80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3AA1288">
            <w:pPr>
              <w:spacing w:before="120" w:after="120"/>
              <w:jc w:val="left"/>
            </w:pPr>
            <w:r>
              <w:rPr>
                <w:b/>
              </w:rPr>
              <w:t>1.</w:t>
            </w:r>
          </w:p>
        </w:tc>
        <w:tc>
          <w:tcPr>
            <w:tcW w:w="8546" w:type="dxa"/>
            <w:tcBorders>
              <w:bottom w:val="single" w:color="auto" w:sz="6" w:space="0"/>
            </w:tcBorders>
            <w:shd w:val="clear" w:color="auto" w:fill="auto"/>
          </w:tcPr>
          <w:p w14:paraId="5E95D9ED">
            <w:pPr>
              <w:spacing w:before="120" w:after="120"/>
            </w:pPr>
            <w:r>
              <w:rPr>
                <w:b/>
              </w:rPr>
              <w:t>Notifying Member:</w:t>
            </w:r>
            <w:r>
              <w:t xml:space="preserve"> </w:t>
            </w:r>
            <w:r>
              <w:rPr>
                <w:u w:val="single"/>
              </w:rPr>
              <w:t>NEW ZEALAND</w:t>
            </w:r>
          </w:p>
          <w:p w14:paraId="35D62FF1">
            <w:pPr>
              <w:spacing w:after="120"/>
            </w:pPr>
            <w:r>
              <w:rPr>
                <w:b/>
              </w:rPr>
              <w:t>If applicable, name of local government involved (Article 3.2 and 7.2):</w:t>
            </w:r>
            <w:r>
              <w:t xml:space="preserve"> </w:t>
            </w:r>
          </w:p>
        </w:tc>
      </w:tr>
      <w:tr w14:paraId="30B3DC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4AD2FB0">
            <w:pPr>
              <w:spacing w:before="120" w:after="120"/>
              <w:jc w:val="left"/>
            </w:pPr>
            <w:r>
              <w:rPr>
                <w:b/>
              </w:rPr>
              <w:t>2.</w:t>
            </w:r>
          </w:p>
        </w:tc>
        <w:tc>
          <w:tcPr>
            <w:tcW w:w="8546" w:type="dxa"/>
            <w:tcBorders>
              <w:top w:val="single" w:color="auto" w:sz="6" w:space="0"/>
              <w:bottom w:val="single" w:color="auto" w:sz="6" w:space="0"/>
            </w:tcBorders>
            <w:shd w:val="clear" w:color="auto" w:fill="auto"/>
          </w:tcPr>
          <w:p w14:paraId="730B3240">
            <w:pPr>
              <w:spacing w:before="120" w:after="120"/>
            </w:pPr>
            <w:r>
              <w:rPr>
                <w:b/>
              </w:rPr>
              <w:t>Agency responsible:</w:t>
            </w:r>
            <w:r>
              <w:t xml:space="preserve"> </w:t>
            </w:r>
          </w:p>
          <w:p w14:paraId="2ACC35F2">
            <w:r>
              <w:t>TBT Enquiry Point of New Zealand</w:t>
            </w:r>
          </w:p>
          <w:p w14:paraId="773E55FC">
            <w:r>
              <w:t>Ministry of Business, Innovation and Employment</w:t>
            </w:r>
          </w:p>
          <w:p w14:paraId="2D7592EB">
            <w:r>
              <w:t>15 Stout Street, PO Box 10729, Wellington 6011, New Zealand</w:t>
            </w:r>
          </w:p>
          <w:p w14:paraId="12920A48">
            <w:r>
              <w:fldChar w:fldCharType="begin"/>
            </w:r>
            <w:r>
              <w:instrText xml:space="preserve"> HYPERLINK "mailto:wto@standards.co.nz" </w:instrText>
            </w:r>
            <w:r>
              <w:fldChar w:fldCharType="separate"/>
            </w:r>
            <w:r>
              <w:rPr>
                <w:color w:val="0000FF"/>
                <w:u w:val="single"/>
              </w:rPr>
              <w:t>wto@standards.co.nz</w:t>
            </w:r>
            <w:r>
              <w:rPr>
                <w:color w:val="0000FF"/>
                <w:u w:val="single"/>
              </w:rPr>
              <w:fldChar w:fldCharType="end"/>
            </w:r>
          </w:p>
          <w:p w14:paraId="1FCAF5DD">
            <w:pPr>
              <w:spacing w:after="120"/>
            </w:pPr>
            <w:r>
              <w:fldChar w:fldCharType="begin"/>
            </w:r>
            <w:r>
              <w:instrText xml:space="preserve"> HYPERLINK "http://www.mbie.govt.nz" </w:instrText>
            </w:r>
            <w:r>
              <w:fldChar w:fldCharType="separate"/>
            </w:r>
            <w:r>
              <w:rPr>
                <w:rStyle w:val="242"/>
              </w:rPr>
              <w:t>www.mbie.govt.nz</w:t>
            </w:r>
            <w:r>
              <w:fldChar w:fldCharType="end"/>
            </w:r>
          </w:p>
          <w:p w14:paraId="31B610EB">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1F78245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F15EED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0777F17E">
            <w:pPr>
              <w:spacing w:before="120" w:after="120"/>
            </w:pPr>
            <w:r>
              <w:rPr>
                <w:b/>
              </w:rPr>
              <w:t>Notified under Article 2.9.2 [X], 2.10.1 [ ], 5.6.2 [ ], 5.7.1 [ ], 3.2 [ ], 7.2 [ ], other:</w:t>
            </w:r>
            <w:r>
              <w:t xml:space="preserve"> </w:t>
            </w:r>
          </w:p>
        </w:tc>
      </w:tr>
      <w:tr w14:paraId="6560AC8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F173F4D">
            <w:pPr>
              <w:spacing w:before="120" w:after="120"/>
              <w:jc w:val="left"/>
            </w:pPr>
            <w:r>
              <w:rPr>
                <w:b/>
              </w:rPr>
              <w:t>4.</w:t>
            </w:r>
          </w:p>
        </w:tc>
        <w:tc>
          <w:tcPr>
            <w:tcW w:w="8546" w:type="dxa"/>
            <w:tcBorders>
              <w:top w:val="single" w:color="auto" w:sz="6" w:space="0"/>
              <w:bottom w:val="single" w:color="auto" w:sz="6" w:space="0"/>
            </w:tcBorders>
            <w:shd w:val="clear" w:color="auto" w:fill="auto"/>
          </w:tcPr>
          <w:p w14:paraId="19E44611">
            <w:pPr>
              <w:spacing w:before="120" w:after="120"/>
            </w:pPr>
            <w:r>
              <w:rPr>
                <w:b/>
              </w:rPr>
              <w:t>Products covered (HS or CCCN where applicable, otherwise national tariff heading. ICS numbers may be provided in addition, where applicable):</w:t>
            </w:r>
            <w:r>
              <w:t xml:space="preserve"> Electrical transformers, static converters, e.g. rectifiers, and inductors; parts thereof (HS code(s): 8504)</w:t>
            </w:r>
          </w:p>
        </w:tc>
      </w:tr>
      <w:tr w14:paraId="1713A6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8C79348">
            <w:pPr>
              <w:spacing w:before="120" w:after="120"/>
              <w:jc w:val="left"/>
            </w:pPr>
            <w:r>
              <w:rPr>
                <w:b/>
              </w:rPr>
              <w:t>5.</w:t>
            </w:r>
          </w:p>
        </w:tc>
        <w:tc>
          <w:tcPr>
            <w:tcW w:w="8546" w:type="dxa"/>
            <w:tcBorders>
              <w:top w:val="single" w:color="auto" w:sz="6" w:space="0"/>
              <w:bottom w:val="single" w:color="auto" w:sz="6" w:space="0"/>
            </w:tcBorders>
            <w:shd w:val="clear" w:color="auto" w:fill="auto"/>
          </w:tcPr>
          <w:p w14:paraId="18586000">
            <w:pPr>
              <w:spacing w:before="120" w:after="120"/>
            </w:pPr>
            <w:r>
              <w:rPr>
                <w:b/>
              </w:rPr>
              <w:t>Title, number of pages and language(s) of the notified document:</w:t>
            </w:r>
            <w:r>
              <w:t xml:space="preserve"> Consultation Document: </w:t>
            </w:r>
            <w:r>
              <w:rPr>
                <w:i/>
                <w:iCs/>
              </w:rPr>
              <w:t>Supporting the uptake of Smart Electric Vehicle charging in New Zealand</w:t>
            </w:r>
            <w:r>
              <w:t xml:space="preserve"> (July 2025, 26 Pages, English)</w:t>
            </w:r>
          </w:p>
        </w:tc>
      </w:tr>
      <w:tr w14:paraId="6645D25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E77103">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3A48EB5">
            <w:pPr>
              <w:spacing w:before="120" w:after="120"/>
              <w:rPr>
                <w:b/>
              </w:rPr>
            </w:pPr>
            <w:r>
              <w:rPr>
                <w:b/>
              </w:rPr>
              <w:t>Description of content:</w:t>
            </w:r>
            <w:r>
              <w:t xml:space="preserve"> The notified consultation document invites feedback on options to support the uptake of Smart EV chargers. It outlines draft objectives and uses these to evaluate and seek feedback on 5 options:</w:t>
            </w:r>
          </w:p>
          <w:p w14:paraId="6B03949C">
            <w:pPr>
              <w:numPr>
                <w:numId w:val="0"/>
              </w:numPr>
              <w:spacing w:before="120" w:after="120"/>
              <w:ind w:left="360" w:leftChars="0"/>
            </w:pPr>
            <w:r>
              <w:rPr>
                <w:rFonts w:hint="eastAsia" w:eastAsia="宋体"/>
                <w:lang w:val="en-US" w:eastAsia="zh-CN"/>
              </w:rPr>
              <w:t>1.</w:t>
            </w:r>
            <w:r>
              <w:t>The status quo</w:t>
            </w:r>
          </w:p>
          <w:p w14:paraId="0369233B">
            <w:pPr>
              <w:numPr>
                <w:numId w:val="0"/>
              </w:numPr>
              <w:spacing w:before="120" w:after="120"/>
              <w:ind w:left="360" w:leftChars="0"/>
            </w:pPr>
            <w:r>
              <w:rPr>
                <w:rFonts w:hint="eastAsia" w:eastAsia="宋体"/>
                <w:lang w:val="en-US" w:eastAsia="zh-CN"/>
              </w:rPr>
              <w:t>2.</w:t>
            </w:r>
            <w:r>
              <w:t>Introducing voluntary labelling for EV chargers</w:t>
            </w:r>
          </w:p>
          <w:p w14:paraId="737939F7">
            <w:pPr>
              <w:numPr>
                <w:numId w:val="0"/>
              </w:numPr>
              <w:spacing w:before="120" w:after="120"/>
              <w:ind w:left="360" w:leftChars="0"/>
            </w:pPr>
            <w:r>
              <w:rPr>
                <w:rFonts w:hint="eastAsia" w:eastAsia="宋体"/>
                <w:lang w:val="en-US" w:eastAsia="zh-CN"/>
              </w:rPr>
              <w:t>3.</w:t>
            </w:r>
            <w:r>
              <w:t>Introducing mandatory labelling for EV chargers</w:t>
            </w:r>
          </w:p>
          <w:p w14:paraId="0CB1A707">
            <w:pPr>
              <w:numPr>
                <w:numId w:val="0"/>
              </w:numPr>
              <w:spacing w:before="120" w:after="120"/>
              <w:ind w:left="360" w:leftChars="0"/>
            </w:pPr>
            <w:r>
              <w:rPr>
                <w:rFonts w:hint="eastAsia" w:eastAsia="宋体"/>
                <w:lang w:val="en-US" w:eastAsia="zh-CN"/>
              </w:rPr>
              <w:t>4.</w:t>
            </w:r>
            <w:r>
              <w:t>Introducing requirements that EV chargers supplied in New Zealand must meet a set of 'smart requirements'.</w:t>
            </w:r>
          </w:p>
          <w:p w14:paraId="16617968">
            <w:pPr>
              <w:numPr>
                <w:numId w:val="0"/>
              </w:numPr>
              <w:spacing w:before="120" w:after="120"/>
              <w:ind w:left="360" w:leftChars="0"/>
            </w:pPr>
            <w:r>
              <w:rPr>
                <w:rFonts w:hint="eastAsia" w:eastAsia="宋体"/>
                <w:lang w:val="en-US" w:eastAsia="zh-CN"/>
              </w:rPr>
              <w:t>5.</w:t>
            </w:r>
            <w:r>
              <w:t>Introducing requirements that EV chargers supplied in New Zealand must meet a set of 'smart requirements' in combination with mandatory labelling.</w:t>
            </w:r>
          </w:p>
          <w:p w14:paraId="3F55776F">
            <w:pPr>
              <w:numPr>
                <w:numId w:val="0"/>
              </w:numPr>
              <w:spacing w:before="120" w:after="120"/>
              <w:ind w:left="360" w:leftChars="0"/>
            </w:pPr>
            <w:r>
              <w:rPr>
                <w:rFonts w:hint="eastAsia" w:eastAsia="宋体"/>
                <w:lang w:val="en-US" w:eastAsia="zh-CN"/>
              </w:rPr>
              <w:t>6.</w:t>
            </w:r>
            <w:r>
              <w:t>The discussion document also seeks feedback on whether the policy options should only apply only to private chargers or all new chargers.</w:t>
            </w:r>
          </w:p>
        </w:tc>
      </w:tr>
      <w:tr w14:paraId="691C595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FA23D9A">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AD37A0">
            <w:pPr>
              <w:spacing w:before="120" w:after="120"/>
              <w:rPr>
                <w:b/>
              </w:rPr>
            </w:pPr>
            <w:r>
              <w:rPr>
                <w:b/>
              </w:rPr>
              <w:t>Objective and rationale, including the nature of urgent problems where applicable:</w:t>
            </w:r>
            <w:r>
              <w:t xml:space="preserve"> Most EV charging in New Zealand happens at home, and there is a risk that as EV uptake increases this could significantly increase peak demand. Without smarter charging solutions, this could lead to higher infrastructure costs and increased power bills for all consumers. Modelling by the Energy Efficiency and Conservation Authority shows widespread use of smart and energy efficient EV chargers could save the country $4 billion by 2050.</w:t>
            </w:r>
          </w:p>
          <w:p w14:paraId="6F3BE2AB">
            <w:pPr>
              <w:spacing w:before="120" w:after="120"/>
            </w:pPr>
            <w:r>
              <w:t>Smart EV chargers offer a practical solution. These devices can communicate with the electricity system to charge vehicles when electricity is cheaper and more readily available. This helps reduce pressure on the grid, lowers household energy costs, and supports New Zealand's transition to a more resilient and renewable energy future.</w:t>
            </w:r>
          </w:p>
          <w:p w14:paraId="19BD3AC4">
            <w:pPr>
              <w:spacing w:before="120" w:after="120"/>
              <w:rPr>
                <w:b/>
              </w:rPr>
            </w:pPr>
            <w:r>
              <w:t>The consultation document therefore seeks feedback on a range of options to support uptake of smart EV chargers. ; Cost saving and productivity enhancement</w:t>
            </w:r>
          </w:p>
        </w:tc>
      </w:tr>
      <w:tr w14:paraId="15E4B2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F9D55C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F0529D">
            <w:pPr>
              <w:spacing w:before="120" w:after="120"/>
              <w:rPr>
                <w:bCs/>
              </w:rPr>
            </w:pPr>
            <w:r>
              <w:rPr>
                <w:b/>
              </w:rPr>
              <w:t>Relevant documents:</w:t>
            </w:r>
            <w:r>
              <w:t xml:space="preserve"> </w:t>
            </w:r>
          </w:p>
          <w:p w14:paraId="4D7829B4">
            <w:pPr>
              <w:spacing w:before="120" w:after="120"/>
            </w:pPr>
            <w:r>
              <w:fldChar w:fldCharType="begin"/>
            </w:r>
            <w:r>
              <w:instrText xml:space="preserve"> HYPERLINK "https://www.mbie.govt.nz/dmsdocument/30885-proposals-to-support-uptake-of-smart-electric-vehicle-charging" </w:instrText>
            </w:r>
            <w:r>
              <w:fldChar w:fldCharType="separate"/>
            </w:r>
            <w:r>
              <w:rPr>
                <w:color w:val="0000FF"/>
                <w:u w:val="single"/>
              </w:rPr>
              <w:t>Proposals to support the uptake of smart electric vehicle charging (July 2025)</w:t>
            </w:r>
            <w:r>
              <w:rPr>
                <w:color w:val="0000FF"/>
                <w:u w:val="single"/>
              </w:rPr>
              <w:fldChar w:fldCharType="end"/>
            </w:r>
          </w:p>
        </w:tc>
      </w:tr>
      <w:tr w14:paraId="48903E1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01A7CAAE">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1D17264B">
            <w:pPr>
              <w:spacing w:before="120" w:after="120"/>
            </w:pPr>
            <w:r>
              <w:rPr>
                <w:b/>
              </w:rPr>
              <w:t>Proposed date of adoption:</w:t>
            </w:r>
            <w:r>
              <w:t xml:space="preserve"> The Government will make a policy decision on which option to progress in 2025. In the event the Government chooses to progress one of the options, further detailed consultation on any specific requirements will be carried out in due course.</w:t>
            </w:r>
          </w:p>
          <w:p w14:paraId="1C24BDC0">
            <w:pPr>
              <w:spacing w:after="120"/>
            </w:pPr>
            <w:r>
              <w:rPr>
                <w:b/>
              </w:rPr>
              <w:t>Proposed date of entry into force:</w:t>
            </w:r>
            <w:r>
              <w:t xml:space="preserve"> The proposed policy option (if progressed) will come into force in New Zealand regulation no earlier than 2026.</w:t>
            </w:r>
          </w:p>
        </w:tc>
      </w:tr>
      <w:tr w14:paraId="52C62A2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0A9BCB2">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9859058">
            <w:pPr>
              <w:tabs>
                <w:tab w:val="left" w:pos="1418"/>
                <w:tab w:val="left" w:pos="2127"/>
                <w:tab w:val="left" w:pos="2835"/>
                <w:tab w:val="left" w:pos="3402"/>
              </w:tabs>
              <w:spacing w:before="120" w:after="120"/>
              <w:rPr>
                <w:rFonts w:hint="eastAsia" w:eastAsia="宋体"/>
                <w:lang w:eastAsia="zh-CN"/>
              </w:rPr>
            </w:pPr>
            <w:r>
              <w:rPr>
                <w:b/>
              </w:rPr>
              <w:t>Final date for comments:</w:t>
            </w:r>
            <w:r>
              <w:t xml:space="preserve"> 12 September 2025</w:t>
            </w:r>
            <w:r>
              <w:rPr>
                <w:rFonts w:hint="eastAsia" w:eastAsia="宋体"/>
                <w:lang w:eastAsia="zh-CN"/>
              </w:rPr>
              <w:t>，</w:t>
            </w:r>
          </w:p>
          <w:p w14:paraId="3A103F1E">
            <w:pPr>
              <w:tabs>
                <w:tab w:val="left" w:pos="1418"/>
                <w:tab w:val="left" w:pos="2127"/>
                <w:tab w:val="left" w:pos="2835"/>
                <w:tab w:val="left" w:pos="3402"/>
              </w:tabs>
              <w:spacing w:before="120" w:after="120"/>
            </w:pPr>
            <w:r>
              <w:rPr>
                <w:b/>
                <w:bCs/>
              </w:rPr>
              <w:t>[X] 60 days from notification</w:t>
            </w:r>
            <w:r>
              <w:t xml:space="preserve"> </w:t>
            </w:r>
          </w:p>
          <w:p w14:paraId="0AA4B92B">
            <w:pPr>
              <w:tabs>
                <w:tab w:val="left" w:pos="1418"/>
                <w:tab w:val="left" w:pos="2127"/>
                <w:tab w:val="left" w:pos="2835"/>
                <w:tab w:val="left" w:pos="3402"/>
              </w:tabs>
              <w:spacing w:before="120" w:after="120"/>
            </w:pPr>
          </w:p>
          <w:p w14:paraId="1C523166">
            <w:pPr>
              <w:tabs>
                <w:tab w:val="left" w:pos="1418"/>
                <w:tab w:val="left" w:pos="2127"/>
                <w:tab w:val="left" w:pos="2835"/>
                <w:tab w:val="left" w:pos="3402"/>
              </w:tabs>
              <w:spacing w:before="120" w:after="120"/>
            </w:pPr>
            <w:r>
              <w:t>Note the webpage and discussion document indicate that submissions close 1 August. Comments made via this notification can be made for 60 days from this notification, and the above links will be available for that.</w:t>
            </w:r>
          </w:p>
          <w:p w14:paraId="69A23610">
            <w:pPr>
              <w:spacing w:before="120" w:after="120"/>
              <w:rPr>
                <w:b/>
                <w:bCs/>
              </w:rPr>
            </w:pPr>
          </w:p>
          <w:p w14:paraId="183DE52F">
            <w:pPr>
              <w:spacing w:before="120" w:after="120"/>
            </w:pPr>
            <w:r>
              <w:rPr>
                <w:b/>
                <w:bCs/>
              </w:rPr>
              <w:t>Contact details of agency or authority designated to handle comments regarding the notification:</w:t>
            </w:r>
            <w:r>
              <w:t xml:space="preserve"> </w:t>
            </w:r>
          </w:p>
          <w:p w14:paraId="198DE85C">
            <w:r>
              <w:t>TBT Enquiry Point of New Zealand</w:t>
            </w:r>
          </w:p>
          <w:p w14:paraId="7417D24F">
            <w:r>
              <w:t>Ministry of Business, Innovation and Employment</w:t>
            </w:r>
          </w:p>
          <w:p w14:paraId="50EC0614">
            <w:r>
              <w:t>15 Stout Street, PO Box 10729, Wellington 6011, New Zealand</w:t>
            </w:r>
          </w:p>
          <w:p w14:paraId="09B1FDF8">
            <w:r>
              <w:fldChar w:fldCharType="begin"/>
            </w:r>
            <w:r>
              <w:instrText xml:space="preserve"> HYPERLINK "mailto:wto@standards.co.nz" </w:instrText>
            </w:r>
            <w:r>
              <w:fldChar w:fldCharType="separate"/>
            </w:r>
            <w:r>
              <w:rPr>
                <w:color w:val="0000FF"/>
                <w:u w:val="single"/>
              </w:rPr>
              <w:t>wto@standards.co.nz</w:t>
            </w:r>
            <w:r>
              <w:rPr>
                <w:color w:val="0000FF"/>
                <w:u w:val="single"/>
              </w:rPr>
              <w:fldChar w:fldCharType="end"/>
            </w:r>
          </w:p>
          <w:p w14:paraId="2A861393">
            <w:pPr>
              <w:spacing w:before="120" w:after="120"/>
              <w:rPr>
                <w:rFonts w:hint="eastAsia" w:eastAsia="宋体"/>
                <w:lang w:eastAsia="zh-CN"/>
              </w:rPr>
            </w:pPr>
            <w:r>
              <w:t>www.mbie.govt.nz</w:t>
            </w:r>
          </w:p>
        </w:tc>
      </w:tr>
      <w:tr w14:paraId="7DCA036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74AEAB0">
            <w:pPr>
              <w:keepNext/>
              <w:keepLines/>
              <w:spacing w:before="120" w:after="120"/>
              <w:jc w:val="left"/>
              <w:rPr>
                <w:b/>
              </w:rPr>
            </w:pPr>
            <w:r>
              <w:rPr>
                <w:b/>
              </w:rPr>
              <w:t>11.</w:t>
            </w:r>
          </w:p>
        </w:tc>
        <w:tc>
          <w:tcPr>
            <w:tcW w:w="8546" w:type="dxa"/>
            <w:tcBorders>
              <w:top w:val="single" w:color="auto" w:sz="6" w:space="0"/>
            </w:tcBorders>
            <w:shd w:val="clear" w:color="auto" w:fill="auto"/>
          </w:tcPr>
          <w:p w14:paraId="301A2C5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22C1BF06">
            <w:pPr>
              <w:keepNext/>
              <w:keepLines/>
              <w:rPr>
                <w:bCs/>
              </w:rPr>
            </w:pPr>
            <w:r>
              <w:fldChar w:fldCharType="begin"/>
            </w:r>
            <w:r>
              <w:instrText xml:space="preserve"> HYPERLINK "https://www.mbie.govt.nz/have-your-say/supporting-the-uptake-of-smart-electric-vehicle-charging-in-new-zealand" \t "_blank" </w:instrText>
            </w:r>
            <w:r>
              <w:fldChar w:fldCharType="separate"/>
            </w:r>
            <w:r>
              <w:rPr>
                <w:iCs/>
                <w:color w:val="0000FF"/>
                <w:u w:val="single"/>
              </w:rPr>
              <w:t>https://www.mbie.govt.nz/have-your-say/supporting-the-uptake-of-smart-electric-vehicle-charging-in-new-zealand</w:t>
            </w:r>
            <w:r>
              <w:rPr>
                <w:iCs/>
                <w:color w:val="0000FF"/>
                <w:u w:val="single"/>
              </w:rPr>
              <w:fldChar w:fldCharType="end"/>
            </w:r>
            <w:bookmarkStart w:id="10" w:name="_GoBack"/>
            <w:bookmarkEnd w:id="10"/>
          </w:p>
        </w:tc>
      </w:tr>
    </w:tbl>
    <w:p w14:paraId="49F13F1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042B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DFDB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6050C">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0089F">
    <w:pPr>
      <w:pStyle w:val="58"/>
      <w:pBdr>
        <w:bottom w:val="single" w:color="auto" w:sz="4" w:space="1"/>
      </w:pBdr>
      <w:tabs>
        <w:tab w:val="clear" w:pos="4513"/>
        <w:tab w:val="clear" w:pos="9027"/>
      </w:tabs>
      <w:jc w:val="center"/>
    </w:pPr>
    <w:bookmarkStart w:id="0" w:name="spsSymbolHeader"/>
    <w:r>
      <w:t>G/TBT/N/NZL/147</w:t>
    </w:r>
    <w:bookmarkEnd w:id="0"/>
  </w:p>
  <w:p w14:paraId="067794DB">
    <w:pPr>
      <w:pStyle w:val="58"/>
      <w:pBdr>
        <w:bottom w:val="single" w:color="auto" w:sz="4" w:space="1"/>
      </w:pBdr>
      <w:tabs>
        <w:tab w:val="clear" w:pos="4513"/>
        <w:tab w:val="clear" w:pos="9027"/>
      </w:tabs>
      <w:jc w:val="center"/>
    </w:pPr>
  </w:p>
  <w:p w14:paraId="349647E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45191E3">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F259D">
    <w:pPr>
      <w:pStyle w:val="58"/>
      <w:pBdr>
        <w:bottom w:val="single" w:color="auto" w:sz="4" w:space="1"/>
      </w:pBdr>
      <w:tabs>
        <w:tab w:val="clear" w:pos="4513"/>
        <w:tab w:val="clear" w:pos="9027"/>
      </w:tabs>
      <w:jc w:val="center"/>
    </w:pPr>
    <w:r>
      <w:t>tbtSymbol</w:t>
    </w:r>
  </w:p>
  <w:p w14:paraId="4F52E594">
    <w:pPr>
      <w:pStyle w:val="58"/>
      <w:pBdr>
        <w:bottom w:val="single" w:color="auto" w:sz="4" w:space="1"/>
      </w:pBdr>
      <w:tabs>
        <w:tab w:val="clear" w:pos="4513"/>
        <w:tab w:val="clear" w:pos="9027"/>
      </w:tabs>
      <w:jc w:val="center"/>
    </w:pPr>
  </w:p>
  <w:p w14:paraId="3A3E4E0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03447EF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81F5AF0">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A62D04D">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5BDDD41E">
          <w:pPr>
            <w:jc w:val="right"/>
            <w:rPr>
              <w:b/>
              <w:color w:val="FF0000"/>
              <w:szCs w:val="16"/>
            </w:rPr>
          </w:pPr>
        </w:p>
      </w:tc>
    </w:tr>
    <w:bookmarkEnd w:id="1"/>
    <w:tr w14:paraId="5BDD2E6C">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5F09370">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954F8E4">
          <w:pPr>
            <w:jc w:val="right"/>
            <w:rPr>
              <w:b/>
              <w:szCs w:val="16"/>
            </w:rPr>
          </w:pPr>
        </w:p>
      </w:tc>
    </w:tr>
    <w:tr w14:paraId="127BA300">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4F4ADF24">
          <w:pPr>
            <w:jc w:val="left"/>
            <w:rPr>
              <w:lang w:eastAsia="en-GB"/>
            </w:rPr>
          </w:pPr>
        </w:p>
      </w:tc>
      <w:tc>
        <w:tcPr>
          <w:tcW w:w="5448" w:type="dxa"/>
          <w:gridSpan w:val="2"/>
          <w:shd w:val="clear" w:color="auto" w:fill="FFFFFF"/>
          <w:tcMar>
            <w:left w:w="108" w:type="dxa"/>
            <w:right w:w="108" w:type="dxa"/>
          </w:tcMar>
        </w:tcPr>
        <w:p w14:paraId="065F563A">
          <w:pPr>
            <w:jc w:val="right"/>
            <w:rPr>
              <w:rFonts w:hint="eastAsia" w:eastAsia="宋体"/>
              <w:b/>
              <w:szCs w:val="16"/>
              <w:lang w:eastAsia="zh-CN"/>
            </w:rPr>
          </w:pPr>
          <w:bookmarkStart w:id="2" w:name="bmkSymbols"/>
          <w:r>
            <w:rPr>
              <w:b/>
              <w:szCs w:val="16"/>
            </w:rPr>
            <w:t>G/TBT/N/NZL/14</w:t>
          </w:r>
          <w:bookmarkEnd w:id="2"/>
          <w:r>
            <w:rPr>
              <w:rFonts w:hint="eastAsia" w:eastAsia="宋体"/>
              <w:b/>
              <w:szCs w:val="16"/>
              <w:lang w:val="en-US" w:eastAsia="zh-CN"/>
            </w:rPr>
            <w:t>9</w:t>
          </w:r>
        </w:p>
      </w:tc>
    </w:tr>
    <w:tr w14:paraId="66C2A98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C28E5C2"/>
      </w:tc>
      <w:tc>
        <w:tcPr>
          <w:tcW w:w="5448" w:type="dxa"/>
          <w:gridSpan w:val="2"/>
          <w:shd w:val="clear" w:color="auto" w:fill="FFFFFF"/>
          <w:tcMar>
            <w:left w:w="108" w:type="dxa"/>
            <w:right w:w="108" w:type="dxa"/>
          </w:tcMar>
          <w:vAlign w:val="center"/>
        </w:tcPr>
        <w:p w14:paraId="38030424">
          <w:pPr>
            <w:jc w:val="right"/>
            <w:rPr>
              <w:szCs w:val="16"/>
            </w:rPr>
          </w:pPr>
          <w:bookmarkStart w:id="3" w:name="spsDateDistribution"/>
          <w:bookmarkStart w:id="4" w:name="bmkDate"/>
          <w:r>
            <w:rPr>
              <w:szCs w:val="16"/>
            </w:rPr>
            <w:t>14 July 2025</w:t>
          </w:r>
          <w:bookmarkEnd w:id="3"/>
          <w:bookmarkEnd w:id="4"/>
        </w:p>
      </w:tc>
    </w:tr>
    <w:tr w14:paraId="533028D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4EF6335">
          <w:pPr>
            <w:jc w:val="left"/>
            <w:rPr>
              <w:b/>
            </w:rPr>
          </w:pPr>
          <w:bookmarkStart w:id="5" w:name="bmkSerial"/>
          <w:r>
            <w:rPr>
              <w:b w:val="0"/>
              <w:color w:val="FF0000"/>
            </w:rPr>
            <w:t>(25-</w:t>
          </w:r>
          <w:r>
            <w:rPr>
              <w:rFonts w:hint="eastAsia" w:eastAsia="宋体"/>
              <w:b w:val="0"/>
              <w:color w:val="FF0000"/>
              <w:lang w:val="en-US" w:eastAsia="zh-CN"/>
            </w:rPr>
            <w:t>4509</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7EBDD20D">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737107E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99BC480">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67CE6120">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24A003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00BC"/>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1D10"/>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4F9"/>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2176"/>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50620"/>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566D"/>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073D9"/>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8974888"/>
    <w:rsid w:val="320D5F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qFormat="1" w:uiPriority="99" w:name="index 1"/>
    <w:lsdException w:qFormat="1" w:uiPriority="99" w:name="index 2"/>
    <w:lsdException w:uiPriority="99" w:name="index 3"/>
    <w:lsdException w:qFormat="1" w:uiPriority="99" w:name="index 4"/>
    <w:lsdException w:uiPriority="99" w:name="index 5"/>
    <w:lsdException w:uiPriority="99" w:name="index 6"/>
    <w:lsdException w:uiPriority="99" w:name="index 7"/>
    <w:lsdException w:qFormat="1"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uiPriority="99" w:name="envelope address"/>
    <w:lsdException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uiPriority="99" w:name="Signature"/>
    <w:lsdException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uiPriority="99" w:name="HTML Cite"/>
    <w:lsdException w:uiPriority="99" w:name="HTML Code"/>
    <w:lsdException w:uiPriority="99" w:name="HTML Definition"/>
    <w:lsdException w:qFormat="1" w:uiPriority="99" w:name="HTML Keyboard"/>
    <w:lsdException w:qFormat="1" w:uiPriority="99" w:name="HTML Preformatted"/>
    <w:lsdException w:uiPriority="99" w:name="HTML Sample"/>
    <w:lsdException w:qFormat="1" w:uiPriority="99" w:name="HTML Typewriter"/>
    <w:lsdException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qFormat="1" w:unhideWhenUsed="0" w:uiPriority="70" w:semiHidden="0" w:name="Dark List"/>
    <w:lsdException w:unhideWhenUsed="0" w:uiPriority="71" w:semiHidden="0" w:name="Colorful Shading"/>
    <w:lsdException w:qFormat="1"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3DC5A-73C0-461A-B69A-4050B50652A9}">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419</Words>
  <Characters>2576</Characters>
  <Lines>24</Lines>
  <Paragraphs>6</Paragraphs>
  <TotalTime>0</TotalTime>
  <ScaleCrop>false</ScaleCrop>
  <LinksUpToDate>false</LinksUpToDate>
  <CharactersWithSpaces>2956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2025-06-11T09:14:00Z</dcterms:created>
  <dc:creator>mark louie medidas</dc:creator>
  <dc:description>LDIMD - DTU</dc:description>
  <cp:lastModifiedBy> 譞譞</cp:lastModifiedBy>
  <dcterms:modified xsi:type="dcterms:W3CDTF">2025-07-14T13:03:00Z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F9679B6AD21C43899D15FE794E3C629C_12</vt:lpwstr>
  </property>
</Properties>
</file>