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EDB72">
      <w:pPr>
        <w:pStyle w:val="84"/>
        <w:rPr>
          <w:caps w:val="0"/>
          <w:kern w:val="0"/>
        </w:rPr>
      </w:pPr>
      <w:r>
        <w:rPr>
          <w:caps w:val="0"/>
          <w:kern w:val="0"/>
        </w:rPr>
        <w:t>NOTIFICATION</w:t>
      </w:r>
    </w:p>
    <w:p w14:paraId="75159A80">
      <w:pPr>
        <w:jc w:val="center"/>
      </w:pPr>
      <w:r>
        <w:t>The following notification is being circulated in accordance with Article 10.6</w:t>
      </w:r>
    </w:p>
    <w:p w14:paraId="58D5048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E122AD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F1B9BC3">
            <w:pPr>
              <w:spacing w:before="120" w:after="120"/>
              <w:jc w:val="left"/>
            </w:pPr>
            <w:r>
              <w:rPr>
                <w:b/>
              </w:rPr>
              <w:t>1.</w:t>
            </w:r>
          </w:p>
        </w:tc>
        <w:tc>
          <w:tcPr>
            <w:tcW w:w="8546" w:type="dxa"/>
            <w:tcBorders>
              <w:bottom w:val="single" w:color="auto" w:sz="6" w:space="0"/>
            </w:tcBorders>
            <w:shd w:val="clear" w:color="auto" w:fill="auto"/>
          </w:tcPr>
          <w:p w14:paraId="6133772E">
            <w:pPr>
              <w:spacing w:before="120" w:after="120"/>
            </w:pPr>
            <w:r>
              <w:rPr>
                <w:b/>
              </w:rPr>
              <w:t>Notifying Member:</w:t>
            </w:r>
            <w:r>
              <w:t xml:space="preserve"> </w:t>
            </w:r>
            <w:r>
              <w:rPr>
                <w:u w:val="single"/>
              </w:rPr>
              <w:t>EUROPEAN UNION</w:t>
            </w:r>
          </w:p>
          <w:p w14:paraId="0E701CEB">
            <w:pPr>
              <w:spacing w:after="120"/>
            </w:pPr>
            <w:r>
              <w:rPr>
                <w:b/>
              </w:rPr>
              <w:t>If applicable, name of local government involved (Article 3.2 and 7.2):</w:t>
            </w:r>
            <w:r>
              <w:t xml:space="preserve"> </w:t>
            </w:r>
          </w:p>
        </w:tc>
      </w:tr>
      <w:tr w14:paraId="26F25B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A02D1FA">
            <w:pPr>
              <w:spacing w:before="120" w:after="120"/>
              <w:jc w:val="left"/>
            </w:pPr>
            <w:r>
              <w:rPr>
                <w:b/>
              </w:rPr>
              <w:t>2.</w:t>
            </w:r>
          </w:p>
        </w:tc>
        <w:tc>
          <w:tcPr>
            <w:tcW w:w="8546" w:type="dxa"/>
            <w:tcBorders>
              <w:top w:val="single" w:color="auto" w:sz="6" w:space="0"/>
              <w:bottom w:val="single" w:color="auto" w:sz="6" w:space="0"/>
            </w:tcBorders>
            <w:shd w:val="clear" w:color="auto" w:fill="auto"/>
          </w:tcPr>
          <w:p w14:paraId="793E2322">
            <w:pPr>
              <w:spacing w:before="120" w:after="120"/>
            </w:pPr>
            <w:r>
              <w:rPr>
                <w:b/>
              </w:rPr>
              <w:t>Agency responsible:</w:t>
            </w:r>
            <w:r>
              <w:t xml:space="preserve"> </w:t>
            </w:r>
          </w:p>
          <w:p w14:paraId="3A720BD6">
            <w:r>
              <w:t>European Commission</w:t>
            </w:r>
          </w:p>
          <w:p w14:paraId="443CEC28">
            <w:r>
              <w:t>EU-TBT Enquiry Point,</w:t>
            </w:r>
          </w:p>
          <w:p w14:paraId="703C8515">
            <w:r>
              <w:t>Fax: +(32) 2299 8043,</w:t>
            </w:r>
          </w:p>
          <w:p w14:paraId="5CCA6C91">
            <w:r>
              <w:t xml:space="preserve">E-mail: </w:t>
            </w:r>
            <w:r>
              <w:fldChar w:fldCharType="begin"/>
            </w:r>
            <w:r>
              <w:instrText xml:space="preserve"> HYPERLINK "mailto:grow-eu-tbt@ec.europa.eu" </w:instrText>
            </w:r>
            <w:r>
              <w:fldChar w:fldCharType="separate"/>
            </w:r>
            <w:r>
              <w:rPr>
                <w:color w:val="0000FF"/>
                <w:u w:val="single"/>
              </w:rPr>
              <w:t>grow-eu-tbt@ec.europa.eu</w:t>
            </w:r>
            <w:r>
              <w:rPr>
                <w:color w:val="0000FF"/>
                <w:u w:val="single"/>
              </w:rPr>
              <w:fldChar w:fldCharType="end"/>
            </w:r>
          </w:p>
          <w:p w14:paraId="32FA47A3">
            <w:pPr>
              <w:spacing w:after="120"/>
              <w:rPr>
                <w:color w:val="0000FF"/>
                <w:u w:val="single"/>
              </w:rPr>
            </w:pPr>
            <w:r>
              <w:t xml:space="preserve">Website: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p w14:paraId="1E57BCC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DF401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B5362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4EB3242">
            <w:pPr>
              <w:spacing w:before="120" w:after="120"/>
            </w:pPr>
            <w:r>
              <w:rPr>
                <w:b/>
              </w:rPr>
              <w:t>Notified under Article 2.9.2 [X], 2.10.1 [ ], 5.6.2 [X], 5.7.1 [ ], 3.2 [ ], 7.2 [ ], other:</w:t>
            </w:r>
            <w:r>
              <w:t xml:space="preserve"> </w:t>
            </w:r>
          </w:p>
        </w:tc>
      </w:tr>
      <w:tr w14:paraId="0B7370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F3A1D9">
            <w:pPr>
              <w:spacing w:before="120" w:after="120"/>
              <w:jc w:val="left"/>
            </w:pPr>
            <w:r>
              <w:rPr>
                <w:b/>
              </w:rPr>
              <w:t>4.</w:t>
            </w:r>
          </w:p>
        </w:tc>
        <w:tc>
          <w:tcPr>
            <w:tcW w:w="8546" w:type="dxa"/>
            <w:tcBorders>
              <w:top w:val="single" w:color="auto" w:sz="6" w:space="0"/>
              <w:bottom w:val="single" w:color="auto" w:sz="6" w:space="0"/>
            </w:tcBorders>
            <w:shd w:val="clear" w:color="auto" w:fill="auto"/>
          </w:tcPr>
          <w:p w14:paraId="4194FB24">
            <w:pPr>
              <w:spacing w:before="120" w:after="120"/>
            </w:pPr>
            <w:r>
              <w:rPr>
                <w:b/>
              </w:rPr>
              <w:t>Products covered (HS or CCCN where applicable, otherwise national tariff heading. ICS numbers may be provided in addition, where applicable):</w:t>
            </w:r>
            <w:r>
              <w:t xml:space="preserve"> Equipment for use outdoors, electrical and electronic equipment, recreational crafts and personal watercrafts, simple pressure vessels, non-automatic weighing instruments, measuring instruments, lifts and safety components for lifts, equipment and protective systems intended for use in potentially explosive atmospheres, electrical equipment designed for use within certain voltage limits, radio equipment, pressure equipment and marine equipment. </w:t>
            </w:r>
          </w:p>
        </w:tc>
      </w:tr>
      <w:tr w14:paraId="5DEB81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BF9CDE">
            <w:pPr>
              <w:spacing w:before="120" w:after="120"/>
              <w:jc w:val="left"/>
            </w:pPr>
            <w:r>
              <w:rPr>
                <w:b/>
              </w:rPr>
              <w:t>5.</w:t>
            </w:r>
          </w:p>
        </w:tc>
        <w:tc>
          <w:tcPr>
            <w:tcW w:w="8546" w:type="dxa"/>
            <w:tcBorders>
              <w:top w:val="single" w:color="auto" w:sz="6" w:space="0"/>
              <w:bottom w:val="single" w:color="auto" w:sz="6" w:space="0"/>
            </w:tcBorders>
            <w:shd w:val="clear" w:color="auto" w:fill="auto"/>
          </w:tcPr>
          <w:p w14:paraId="57F3893D">
            <w:pPr>
              <w:spacing w:before="120" w:after="120"/>
            </w:pPr>
            <w:r>
              <w:rPr>
                <w:b/>
              </w:rPr>
              <w:t>Title, number of pages and language(s) of the notified document:</w:t>
            </w:r>
            <w:r>
              <w:t xml:space="preserve"> Proposal for a Directive of the European Parliament and of the Council amending Directives 2000/14/EC, 2011/65/EU, 2013/53/EU, 2014/29/EU, 2014/30/EU, 2014/31/EU, 2014/32/EU, 2014/33/EU, 2014/34/EU, 2014/35/EU, 2014/53/EU, 2014/68/EU and 2014/90/EU of the European Parliament and of the Council as regards digitalisation and common specifications; (83 page(s), in English), (36 page(s), in English)</w:t>
            </w:r>
          </w:p>
        </w:tc>
      </w:tr>
      <w:tr w14:paraId="2DBCBA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CC3F51">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26C9E889">
            <w:pPr>
              <w:spacing w:before="120" w:after="120"/>
              <w:rPr>
                <w:b/>
              </w:rPr>
            </w:pPr>
            <w:r>
              <w:rPr>
                <w:b/>
              </w:rPr>
              <w:t>Description of content:</w:t>
            </w:r>
            <w:r>
              <w:t xml:space="preserve"> The proposal aims to rationalise and digitalise economic operators' obligations for the concerned Directives and, to align the existing fall-back option to harmonised standards uniformly. The proposal includes:</w:t>
            </w:r>
          </w:p>
          <w:p w14:paraId="2AEA94B5">
            <w:pPr>
              <w:spacing w:before="120" w:after="120"/>
            </w:pPr>
            <w:r>
              <w:t>-The specification that the EU declaration of conformity, or a similar document, must be drawn up in electronic form and made accessible through an internet address or machine-readable code when that declaration needs to accompany a product;</w:t>
            </w:r>
          </w:p>
          <w:p w14:paraId="04579B6E">
            <w:pPr>
              <w:spacing w:before="120" w:after="120"/>
            </w:pPr>
            <w:r>
              <w:t>– The addition of a 'digital contact' as information to be indicated by manufacturers on products placed on the market to facilitate communication between economic operators and national authorities;</w:t>
            </w:r>
          </w:p>
          <w:p w14:paraId="2FF27CDD">
            <w:pPr>
              <w:spacing w:before="120" w:after="120"/>
            </w:pPr>
            <w:r>
              <w:t>– The clarification that the instructions accompanying products may be provided in electronic form with the exception of safety information which should be provided on paper or marked on the product for consumers;</w:t>
            </w:r>
          </w:p>
          <w:p w14:paraId="04AD0314">
            <w:pPr>
              <w:spacing w:before="120" w:after="120"/>
            </w:pPr>
            <w:r>
              <w:t>– The amendment of reporting obligations to national authorities that require a 'paper or electronic format' to 'electronic form' only;</w:t>
            </w:r>
          </w:p>
          <w:p w14:paraId="7C5BD31B">
            <w:pPr>
              <w:spacing w:before="120" w:after="120"/>
            </w:pPr>
            <w:r>
              <w:t>– The insertion of an obligation for exchanges by electronic means between the economic operators and competent authorities;</w:t>
            </w:r>
          </w:p>
          <w:p w14:paraId="69BE9F87">
            <w:pPr>
              <w:spacing w:before="120" w:after="120"/>
            </w:pPr>
            <w:r>
              <w:t>– The introduction of a provision on common specifications to benefit from the use of presumption of conformity with essential requirements in the absence of harmonised standards;</w:t>
            </w:r>
          </w:p>
          <w:p w14:paraId="3AB2DF76">
            <w:pPr>
              <w:spacing w:before="120" w:after="120"/>
              <w:rPr>
                <w:b/>
              </w:rPr>
            </w:pPr>
            <w:r>
              <w:t>– An obligation to provide the information contained in the EU declaration of conformity and instructions on the digital product passport when the product is subject to another Union legislation that requires the use of such a digital product passport.</w:t>
            </w:r>
          </w:p>
        </w:tc>
      </w:tr>
      <w:tr w14:paraId="53B5E5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46BBAF">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0DC3D6A">
            <w:pPr>
              <w:spacing w:before="120" w:after="120"/>
              <w:rPr>
                <w:b/>
              </w:rPr>
            </w:pPr>
            <w:r>
              <w:rPr>
                <w:b/>
              </w:rPr>
              <w:t>Objective and rationale, including the nature of urgent problems where applicable:</w:t>
            </w:r>
            <w:r>
              <w:t xml:space="preserve"> In its Communication on 'Long-term competitiveness of the EU: looking beyond 2030', the Commission stressed the importance of a regulatory system that ensures objectives are reached at minimum costs. To that end, it committed to a dedicated effort to rationalise and simplify reporting requirements and administrative burdens, with the ultimate aim of reducing such requirements by 25% without undermining the related policy objectives. Reporting requirements play a key role in ensuring the correct enforcement and proper monitoring of legislation. The costs of reporting are overall largely offset by the benefits they bring, in particular as regards monitoring and ensuring compliance with key policy measures. However, reporting requirements can also impose a disproportionate burden on stakeholders, particularly SMEs and micro-companies. The accumulation of these requirements over time can result in redundant, duplicate or obsolete obligations, inefficient frequency and timing, or inadequate methods of collection. The Commission promotes the 'digital by default' principle in its Digital Strategy/Better regulation to support digital transformations, facilitating digital-ready policies that take into account the fast-evolving world of digitalisation and technology, and are digital, interoperable, future-proof and agile by default.</w:t>
            </w:r>
          </w:p>
          <w:p w14:paraId="3C2CC67A">
            <w:pPr>
              <w:spacing w:before="120" w:after="120"/>
            </w:pPr>
            <w:r>
              <w:t>However, there are still various pieces of EU legislation that provide for the use of paper format. Removing references to paper format would also force public authorities to rethink the ways they process submissions or reporting by companies. Streamlining such submissions and reporting by promoting digital-by-default would create new incentives to invest in data collection and processing with eGovernment solutions that could pave the way to a document-free Single Market based on interoperable structured data and the once-only principle.</w:t>
            </w:r>
          </w:p>
          <w:p w14:paraId="1CC70E4A">
            <w:pPr>
              <w:spacing w:before="120" w:after="120"/>
            </w:pPr>
            <w:r>
              <w:t>Moreover, taking into account that in 2024, no less than 94% of EU households had access to internet, the paper format of instructions for use accompanying products under the scope of the Directives is outdated and not aligned with current technologies, consumer habits or green objectives. Consequently, manufacturers should be able to choose a digital format for instructions for use. Where manufacturers choose to provide instructions for use in digital format, the safety information (including any parts of the instructions for use deemed imperative for safety) should still be provided in paper format to protect the safety of consumers. Moreover, end-users should be able to obtain a paper copy of the instructions upon request – at the time of purchase and for a certain period of time after purchase.</w:t>
            </w:r>
          </w:p>
          <w:p w14:paraId="150D3C01">
            <w:pPr>
              <w:spacing w:before="120" w:after="120"/>
              <w:rPr>
                <w:b/>
              </w:rPr>
            </w:pPr>
            <w:r>
              <w:t>The present proposal's objective is also to align the alternative option in legislative acts which do not provide for any alternative option to harmonised standards. The alternative option is to be implemented in a uniform manner as regards definition, legal effect, the conditions under which that alternative option may be adopted and adoption procedure. The initiative on common specifications is fully in line with the need referred to above and aims to simplify the life of businesses that have to comply with one or more product-specific health and safety requirements, as enshrined in sectoral regulations that make use of harmonised standards.; Consumer information, labelling; Harmonization; Cost saving and productivity enhancement</w:t>
            </w:r>
          </w:p>
        </w:tc>
      </w:tr>
      <w:tr w14:paraId="4F17F7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42BA9A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1A190ED8">
            <w:pPr>
              <w:spacing w:before="120" w:after="120"/>
              <w:rPr>
                <w:bCs/>
              </w:rPr>
            </w:pPr>
            <w:r>
              <w:rPr>
                <w:b/>
              </w:rPr>
              <w:t>Relevant documents:</w:t>
            </w:r>
            <w:r>
              <w:t xml:space="preserve"> </w:t>
            </w:r>
          </w:p>
          <w:p w14:paraId="04685E2D">
            <w:pPr>
              <w:spacing w:before="120" w:after="120"/>
            </w:pPr>
            <w:r>
              <w:t xml:space="preserve">Directive 2000/14/EC of the European Parliament and of the Council of 8 May 2000 on the approximation of the laws of the Member States relating to the noise emission in the environment by equipment for use outdoors (OJ L 162, 3.7.2000, p. 1, ELI: </w:t>
            </w:r>
            <w:r>
              <w:fldChar w:fldCharType="begin"/>
            </w:r>
            <w:r>
              <w:instrText xml:space="preserve"> HYPERLINK "http://data.europa.eu/eli/dir/2000/14/oj" </w:instrText>
            </w:r>
            <w:r>
              <w:fldChar w:fldCharType="separate"/>
            </w:r>
            <w:r>
              <w:rPr>
                <w:color w:val="0000FF"/>
                <w:u w:val="single"/>
              </w:rPr>
              <w:t>http://data.europa.eu/eli/dir/2000/14/oj</w:t>
            </w:r>
            <w:r>
              <w:rPr>
                <w:color w:val="0000FF"/>
                <w:u w:val="single"/>
              </w:rPr>
              <w:fldChar w:fldCharType="end"/>
            </w:r>
            <w:r>
              <w:t>)</w:t>
            </w:r>
          </w:p>
          <w:p w14:paraId="32F19248">
            <w:pPr>
              <w:spacing w:before="120" w:after="120"/>
            </w:pPr>
            <w:r>
              <w:t xml:space="preserve">Directive 2011/65/EU of the European Parliament and of the Council of 8 June 2011 on the restriction of the use of certain hazardous substances in electrical and electronic equipment (OJ L 174, 1.7.2011, p. 88, ELI: </w:t>
            </w:r>
            <w:r>
              <w:fldChar w:fldCharType="begin"/>
            </w:r>
            <w:r>
              <w:instrText xml:space="preserve"> HYPERLINK "http://data.europa.eu/eli/dir/2011/65/oj" </w:instrText>
            </w:r>
            <w:r>
              <w:fldChar w:fldCharType="separate"/>
            </w:r>
            <w:r>
              <w:rPr>
                <w:color w:val="0000FF"/>
                <w:u w:val="single"/>
              </w:rPr>
              <w:t>http://data.europa.eu/eli/dir/2011/65/oj</w:t>
            </w:r>
            <w:r>
              <w:rPr>
                <w:color w:val="0000FF"/>
                <w:u w:val="single"/>
              </w:rPr>
              <w:fldChar w:fldCharType="end"/>
            </w:r>
            <w:r>
              <w:t>).</w:t>
            </w:r>
          </w:p>
          <w:p w14:paraId="7885ABE3">
            <w:pPr>
              <w:spacing w:before="120" w:after="120"/>
            </w:pPr>
            <w:r>
              <w:t xml:space="preserve">Directive 2013/53/EU of the European Parliament and of the Council of 20 November 2013 on recreational craft and personal watercraft and repealing Directive 94/25/EC (OJ L 354, 28.12.2013, p. 90, ELI: </w:t>
            </w:r>
            <w:r>
              <w:fldChar w:fldCharType="begin"/>
            </w:r>
            <w:r>
              <w:instrText xml:space="preserve"> HYPERLINK "http://data.europa.eu/eli/dir/2013/53/oj" </w:instrText>
            </w:r>
            <w:r>
              <w:fldChar w:fldCharType="separate"/>
            </w:r>
            <w:r>
              <w:rPr>
                <w:color w:val="0000FF"/>
                <w:u w:val="single"/>
              </w:rPr>
              <w:t>http://data.europa.eu/eli/dir/2013/53/oj</w:t>
            </w:r>
            <w:r>
              <w:rPr>
                <w:color w:val="0000FF"/>
                <w:u w:val="single"/>
              </w:rPr>
              <w:fldChar w:fldCharType="end"/>
            </w:r>
            <w:r>
              <w:t>).</w:t>
            </w:r>
          </w:p>
          <w:p w14:paraId="3B2008F5">
            <w:pPr>
              <w:spacing w:before="120" w:after="120"/>
            </w:pPr>
            <w:r>
              <w:t xml:space="preserve">Directive 2014/29/EU of the European Parliament and of the Council of 26 February 2014 on the harmonisation of the laws of the Member States relating to the making available on the market of simple pressure vessels (OJ L 96, 29.3.2014, p. 45, ELI: </w:t>
            </w:r>
            <w:r>
              <w:fldChar w:fldCharType="begin"/>
            </w:r>
            <w:r>
              <w:instrText xml:space="preserve"> HYPERLINK "http://data.europa.eu/eli/dir/2014/29/oj" </w:instrText>
            </w:r>
            <w:r>
              <w:fldChar w:fldCharType="separate"/>
            </w:r>
            <w:r>
              <w:rPr>
                <w:color w:val="0000FF"/>
                <w:u w:val="single"/>
              </w:rPr>
              <w:t>http://data.europa.eu/eli/dir/2014/29/oj</w:t>
            </w:r>
            <w:r>
              <w:rPr>
                <w:color w:val="0000FF"/>
                <w:u w:val="single"/>
              </w:rPr>
              <w:fldChar w:fldCharType="end"/>
            </w:r>
            <w:r>
              <w:t>).</w:t>
            </w:r>
          </w:p>
          <w:p w14:paraId="57046702">
            <w:pPr>
              <w:spacing w:before="120" w:after="120"/>
            </w:pPr>
            <w:r>
              <w:t xml:space="preserve">Directive 2014/30/EU of the European Parliament and of the Council of 26 February 2014 on the harmonisation of the laws of the Member States relating to electromagnetic compatibility (OJ L 96, 29.3.2014, p. 79, ELI: </w:t>
            </w:r>
            <w:r>
              <w:fldChar w:fldCharType="begin"/>
            </w:r>
            <w:r>
              <w:instrText xml:space="preserve"> HYPERLINK "http://data.europa.eu/eli/dir/2014/30/oj" </w:instrText>
            </w:r>
            <w:r>
              <w:fldChar w:fldCharType="separate"/>
            </w:r>
            <w:r>
              <w:rPr>
                <w:color w:val="0000FF"/>
                <w:u w:val="single"/>
              </w:rPr>
              <w:t>http://data.europa.eu/eli/dir/2014/30/oj</w:t>
            </w:r>
            <w:r>
              <w:rPr>
                <w:color w:val="0000FF"/>
                <w:u w:val="single"/>
              </w:rPr>
              <w:fldChar w:fldCharType="end"/>
            </w:r>
            <w:r>
              <w:t>).</w:t>
            </w:r>
          </w:p>
          <w:p w14:paraId="5EF0A6EB">
            <w:pPr>
              <w:spacing w:before="120" w:after="120"/>
            </w:pPr>
            <w:r>
              <w:t xml:space="preserve">Directive 2014/31/EU of the European Parliament and of the Council of 26 February 2014 on the harmonisation of the laws of the Member States relating to the making available on the market of nonautomatic weighing instruments (OJ L 96, 29.3.2014, p. 107, ELI: </w:t>
            </w:r>
            <w:r>
              <w:fldChar w:fldCharType="begin"/>
            </w:r>
            <w:r>
              <w:instrText xml:space="preserve"> HYPERLINK "http://data.europa.eu/eli/dir/2014/31/oj" </w:instrText>
            </w:r>
            <w:r>
              <w:fldChar w:fldCharType="separate"/>
            </w:r>
            <w:r>
              <w:rPr>
                <w:color w:val="0000FF"/>
                <w:u w:val="single"/>
              </w:rPr>
              <w:t>http://data.europa.eu/eli/dir/2014/31/oj</w:t>
            </w:r>
            <w:r>
              <w:rPr>
                <w:color w:val="0000FF"/>
                <w:u w:val="single"/>
              </w:rPr>
              <w:fldChar w:fldCharType="end"/>
            </w:r>
            <w:r>
              <w:t>).</w:t>
            </w:r>
          </w:p>
          <w:p w14:paraId="5140747D">
            <w:pPr>
              <w:spacing w:before="120" w:after="120"/>
            </w:pPr>
            <w:r>
              <w:t xml:space="preserve">Directive 2014/32/EU of the European Parliament and of the Council of 26 February 2014 on the harmonisation of the laws of the Member States relating to the making available on the market of measuring instruments (OJ L 96, 29.3.2014, p. 149, ELI: </w:t>
            </w:r>
            <w:r>
              <w:fldChar w:fldCharType="begin"/>
            </w:r>
            <w:r>
              <w:instrText xml:space="preserve"> HYPERLINK "http://data.europa.eu/eli/dir/2014/32/oj" </w:instrText>
            </w:r>
            <w:r>
              <w:fldChar w:fldCharType="separate"/>
            </w:r>
            <w:r>
              <w:rPr>
                <w:color w:val="0000FF"/>
                <w:u w:val="single"/>
              </w:rPr>
              <w:t>http://data.europa.eu/eli/dir/2014/32/oj</w:t>
            </w:r>
            <w:r>
              <w:rPr>
                <w:color w:val="0000FF"/>
                <w:u w:val="single"/>
              </w:rPr>
              <w:fldChar w:fldCharType="end"/>
            </w:r>
            <w:r>
              <w:t>).</w:t>
            </w:r>
          </w:p>
          <w:p w14:paraId="30C1C790">
            <w:pPr>
              <w:spacing w:before="120" w:after="120"/>
            </w:pPr>
            <w:r>
              <w:t xml:space="preserve">Directive 2014/33/EU of the European Parliament and of the Council of 26 February 2014 on the harmonisation of the laws of the Member States relating to lifts and safety components for lifts (OJ L 96, 29.3.2014, p. 251, ELI: </w:t>
            </w:r>
            <w:r>
              <w:fldChar w:fldCharType="begin"/>
            </w:r>
            <w:r>
              <w:instrText xml:space="preserve"> HYPERLINK "http://data.europa.eu/eli/dir/2014/33/oj" </w:instrText>
            </w:r>
            <w:r>
              <w:fldChar w:fldCharType="separate"/>
            </w:r>
            <w:r>
              <w:rPr>
                <w:color w:val="0000FF"/>
                <w:u w:val="single"/>
              </w:rPr>
              <w:t>http://data.europa.eu/eli/dir/2014/33/oj</w:t>
            </w:r>
            <w:r>
              <w:rPr>
                <w:color w:val="0000FF"/>
                <w:u w:val="single"/>
              </w:rPr>
              <w:fldChar w:fldCharType="end"/>
            </w:r>
            <w:r>
              <w:t>).</w:t>
            </w:r>
          </w:p>
          <w:p w14:paraId="1511A539">
            <w:pPr>
              <w:spacing w:before="120" w:after="120"/>
            </w:pPr>
            <w:r>
              <w:t xml:space="preserve">Directive 2014/34/EU of the European Parliament and of the Council of 26 February 2014 on the harmonisation of the laws of the Member States relating to equipment and protective systems intended for use in potentially explosive atmospheres (OJ L 96, 29.3.2014, p. 309, ELI: </w:t>
            </w:r>
            <w:r>
              <w:fldChar w:fldCharType="begin"/>
            </w:r>
            <w:r>
              <w:instrText xml:space="preserve"> HYPERLINK "https://eur-lex.europa.eu/eli/dir/2014/34/oj" </w:instrText>
            </w:r>
            <w:r>
              <w:fldChar w:fldCharType="separate"/>
            </w:r>
            <w:r>
              <w:rPr>
                <w:color w:val="0000FF"/>
                <w:u w:val="single"/>
              </w:rPr>
              <w:t>https://eur-lex.europa.eu/eli/dir/2014/34/oj</w:t>
            </w:r>
            <w:r>
              <w:rPr>
                <w:color w:val="0000FF"/>
                <w:u w:val="single"/>
              </w:rPr>
              <w:fldChar w:fldCharType="end"/>
            </w:r>
            <w:r>
              <w:t>).</w:t>
            </w:r>
          </w:p>
          <w:p w14:paraId="60FC413D">
            <w:pPr>
              <w:spacing w:before="120" w:after="120"/>
            </w:pPr>
            <w:r>
              <w:t xml:space="preserve">Directive 2014/35/EU of the European Parliament and of the Council of 26 February 2014 on the harmonisation of the laws of the Member States relating to the making available on the market of electrical equipment designed for use within certain voltage limits (OJ L 96, 29.3.2014, p. 357, ELI: </w:t>
            </w:r>
            <w:r>
              <w:fldChar w:fldCharType="begin"/>
            </w:r>
            <w:r>
              <w:instrText xml:space="preserve"> HYPERLINK "http://data.europa.eu/eli/dir/2014/35/oj" </w:instrText>
            </w:r>
            <w:r>
              <w:fldChar w:fldCharType="separate"/>
            </w:r>
            <w:r>
              <w:rPr>
                <w:color w:val="0000FF"/>
                <w:u w:val="single"/>
              </w:rPr>
              <w:t>http://data.europa.eu/eli/dir/2014/35/oj</w:t>
            </w:r>
            <w:r>
              <w:rPr>
                <w:color w:val="0000FF"/>
                <w:u w:val="single"/>
              </w:rPr>
              <w:fldChar w:fldCharType="end"/>
            </w:r>
            <w:r>
              <w:t>).</w:t>
            </w:r>
          </w:p>
          <w:p w14:paraId="485FB094">
            <w:pPr>
              <w:spacing w:before="120" w:after="120"/>
            </w:pPr>
            <w:r>
              <w:t xml:space="preserve">Directive 2014/53/EU of the European Parliament and of the Council of 16 April 2014 on the harmonisation of the laws of the Member States relating to the making available on the market of radio equipment and repealing Directive 1999/5/EC (OJ L 153, 22.5.2014, p. 62, ELI: </w:t>
            </w:r>
            <w:r>
              <w:fldChar w:fldCharType="begin"/>
            </w:r>
            <w:r>
              <w:instrText xml:space="preserve"> HYPERLINK "http://data.europa.eu/eli/dir/2014/53/oj" </w:instrText>
            </w:r>
            <w:r>
              <w:fldChar w:fldCharType="separate"/>
            </w:r>
            <w:r>
              <w:rPr>
                <w:color w:val="0000FF"/>
                <w:u w:val="single"/>
              </w:rPr>
              <w:t>http://data.europa.eu/eli/dir/2014/53/oj</w:t>
            </w:r>
            <w:r>
              <w:rPr>
                <w:color w:val="0000FF"/>
                <w:u w:val="single"/>
              </w:rPr>
              <w:fldChar w:fldCharType="end"/>
            </w:r>
            <w:r>
              <w:t>).</w:t>
            </w:r>
          </w:p>
          <w:p w14:paraId="1A05FB6E">
            <w:pPr>
              <w:spacing w:before="120" w:after="120"/>
            </w:pPr>
            <w:r>
              <w:t xml:space="preserve">Directive 2014/68/EU of the European Parliament and of the Council of 15 May 2014 on the harmonisation of the laws of the Member States relating to the making available on the market of pressure equipment (OJ L 189, 27.6.2014, p. 164, ELI: </w:t>
            </w:r>
            <w:r>
              <w:fldChar w:fldCharType="begin"/>
            </w:r>
            <w:r>
              <w:instrText xml:space="preserve"> HYPERLINK "http://data.europa.eu/eli/dir/2014/68/oj" </w:instrText>
            </w:r>
            <w:r>
              <w:fldChar w:fldCharType="separate"/>
            </w:r>
            <w:r>
              <w:rPr>
                <w:color w:val="0000FF"/>
                <w:u w:val="single"/>
              </w:rPr>
              <w:t>http://data.europa.eu/eli/dir/2014/68/oj</w:t>
            </w:r>
            <w:r>
              <w:rPr>
                <w:color w:val="0000FF"/>
                <w:u w:val="single"/>
              </w:rPr>
              <w:fldChar w:fldCharType="end"/>
            </w:r>
            <w:r>
              <w:t>).</w:t>
            </w:r>
          </w:p>
          <w:p w14:paraId="2667B90F">
            <w:pPr>
              <w:spacing w:before="120" w:after="120"/>
            </w:pPr>
            <w:r>
              <w:t xml:space="preserve">Directive 2014/90/EU of the European Parliament and of the Council of 23 July 2014 on marine equipment and repealing Council Directive 96/98/EC (OJ L 257, 28.8.2014, p. 146, ELI: </w:t>
            </w:r>
            <w:r>
              <w:fldChar w:fldCharType="begin"/>
            </w:r>
            <w:r>
              <w:instrText xml:space="preserve"> HYPERLINK "http://data.europa.eu/eli/dir/2014/90/oj" </w:instrText>
            </w:r>
            <w:r>
              <w:fldChar w:fldCharType="separate"/>
            </w:r>
            <w:r>
              <w:rPr>
                <w:color w:val="0000FF"/>
                <w:u w:val="single"/>
              </w:rPr>
              <w:t>http://data.europa.eu/eli/dir/2014/90/oj</w:t>
            </w:r>
            <w:r>
              <w:rPr>
                <w:color w:val="0000FF"/>
                <w:u w:val="single"/>
              </w:rPr>
              <w:fldChar w:fldCharType="end"/>
            </w:r>
            <w:r>
              <w:t>).</w:t>
            </w:r>
            <w:bookmarkStart w:id="10" w:name="_GoBack"/>
            <w:bookmarkEnd w:id="10"/>
          </w:p>
        </w:tc>
      </w:tr>
      <w:tr w14:paraId="67E9037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590E45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29407F7">
            <w:pPr>
              <w:spacing w:before="120" w:after="120"/>
              <w:rPr>
                <w:rFonts w:hint="default" w:eastAsia="宋体"/>
                <w:lang w:val="en-US" w:eastAsia="zh-CN"/>
              </w:rPr>
            </w:pPr>
            <w:r>
              <w:rPr>
                <w:b/>
              </w:rPr>
              <w:t>Proposed date of adoption:</w:t>
            </w:r>
            <w:r>
              <w:t xml:space="preserve"> </w:t>
            </w:r>
            <w:r>
              <w:rPr>
                <w:rFonts w:hint="eastAsia" w:eastAsia="宋体"/>
                <w:lang w:val="en-US" w:eastAsia="zh-CN"/>
              </w:rPr>
              <w:t>2026</w:t>
            </w:r>
          </w:p>
          <w:p w14:paraId="040250F9">
            <w:pPr>
              <w:spacing w:after="120"/>
            </w:pPr>
            <w:r>
              <w:rPr>
                <w:b/>
              </w:rPr>
              <w:t>Proposed date of entry into force:</w:t>
            </w:r>
            <w:r>
              <w:t xml:space="preserve"> 20 days from publication in the Official Journal of the EU</w:t>
            </w:r>
          </w:p>
        </w:tc>
      </w:tr>
      <w:tr w14:paraId="725C8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363CF0">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803F3C1">
            <w:pPr>
              <w:spacing w:before="120" w:after="120"/>
              <w:rPr>
                <w:b/>
                <w:bCs/>
              </w:rPr>
            </w:pPr>
            <w:r>
              <w:rPr>
                <w:b/>
              </w:rPr>
              <w:t>Final date for comments:</w:t>
            </w:r>
            <w:r>
              <w:t xml:space="preserve"> 12 October 2025 (90 days from notification) </w:t>
            </w:r>
          </w:p>
          <w:p w14:paraId="0AD2A7A3">
            <w:pPr>
              <w:spacing w:before="120" w:after="120"/>
              <w:rPr>
                <w:b/>
                <w:bCs/>
              </w:rPr>
            </w:pPr>
          </w:p>
          <w:p w14:paraId="6C80D5F9">
            <w:pPr>
              <w:spacing w:before="120" w:after="120"/>
            </w:pPr>
            <w:r>
              <w:rPr>
                <w:b/>
                <w:bCs/>
              </w:rPr>
              <w:t>Contact details of agency or authority designated to handle comments regarding the notification:</w:t>
            </w:r>
            <w:r>
              <w:t xml:space="preserve"> </w:t>
            </w:r>
          </w:p>
          <w:p w14:paraId="259DACDE">
            <w:pPr>
              <w:rPr>
                <w:lang w:val="fr-CH"/>
              </w:rPr>
            </w:pPr>
            <w:r>
              <w:rPr>
                <w:lang w:val="fr-CH"/>
              </w:rPr>
              <w:t>European Commission,</w:t>
            </w:r>
          </w:p>
          <w:p w14:paraId="2CFD7A6B">
            <w:pPr>
              <w:rPr>
                <w:lang w:val="fr-CH"/>
              </w:rPr>
            </w:pPr>
            <w:r>
              <w:rPr>
                <w:lang w:val="fr-CH"/>
              </w:rPr>
              <w:t>EU-TBT Enquiry Point,</w:t>
            </w:r>
          </w:p>
          <w:p w14:paraId="134E3670">
            <w:pPr>
              <w:rPr>
                <w:lang w:val="fr-CH"/>
              </w:rPr>
            </w:pPr>
            <w:r>
              <w:rPr>
                <w:lang w:val="fr-CH"/>
              </w:rPr>
              <w:t>Fax: + (32) 2 299 80 43,</w:t>
            </w:r>
          </w:p>
          <w:p w14:paraId="3A8B18D1">
            <w:pPr>
              <w:rPr>
                <w:lang w:val="fr-CH"/>
              </w:rPr>
            </w:pPr>
            <w:r>
              <w:rPr>
                <w:lang w:val="fr-CH"/>
              </w:rPr>
              <w:t xml:space="preserve">E-mail: </w:t>
            </w:r>
            <w:r>
              <w:fldChar w:fldCharType="begin"/>
            </w:r>
            <w:r>
              <w:instrText xml:space="preserve"> HYPERLINK "mailto:grow-eu-tbt@ec.europa.eu" </w:instrText>
            </w:r>
            <w:r>
              <w:fldChar w:fldCharType="separate"/>
            </w:r>
            <w:r>
              <w:rPr>
                <w:color w:val="0000FF"/>
                <w:u w:val="single"/>
                <w:lang w:val="fr-CH"/>
              </w:rPr>
              <w:t>grow-eu-tbt@ec.europa.eu</w:t>
            </w:r>
            <w:r>
              <w:rPr>
                <w:color w:val="0000FF"/>
                <w:u w:val="single"/>
                <w:lang w:val="fr-CH"/>
              </w:rPr>
              <w:fldChar w:fldCharType="end"/>
            </w:r>
          </w:p>
          <w:p w14:paraId="60BB903B">
            <w:pPr>
              <w:spacing w:before="120" w:after="120"/>
              <w:rPr>
                <w:rFonts w:hint="eastAsia" w:eastAsia="宋体"/>
                <w:lang w:eastAsia="zh-CN"/>
              </w:rPr>
            </w:pPr>
            <w:r>
              <w:t xml:space="preserve">The text is available on the EU-TBT Website :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tc>
      </w:tr>
      <w:tr w14:paraId="1CA1BDF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289E527">
            <w:pPr>
              <w:keepNext/>
              <w:keepLines/>
              <w:spacing w:before="120" w:after="120"/>
              <w:jc w:val="left"/>
              <w:rPr>
                <w:b/>
              </w:rPr>
            </w:pPr>
            <w:r>
              <w:rPr>
                <w:b/>
              </w:rPr>
              <w:t>11.</w:t>
            </w:r>
          </w:p>
        </w:tc>
        <w:tc>
          <w:tcPr>
            <w:tcW w:w="8546" w:type="dxa"/>
            <w:tcBorders>
              <w:top w:val="single" w:color="auto" w:sz="6" w:space="0"/>
            </w:tcBorders>
            <w:shd w:val="clear" w:color="auto" w:fill="auto"/>
          </w:tcPr>
          <w:p w14:paraId="5F28FB48">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9C8A8BD">
            <w:pPr>
              <w:rPr>
                <w:rFonts w:hint="eastAsia" w:eastAsia="宋体"/>
                <w:iCs/>
                <w:lang w:eastAsia="zh-CN"/>
              </w:rPr>
            </w:pPr>
            <w:r>
              <w:rPr>
                <w:iCs/>
              </w:rPr>
              <w:t>European Commission</w:t>
            </w:r>
            <w:r>
              <w:rPr>
                <w:rFonts w:hint="eastAsia" w:eastAsia="宋体"/>
                <w:iCs/>
                <w:lang w:eastAsia="zh-CN"/>
              </w:rPr>
              <w:t>，</w:t>
            </w:r>
          </w:p>
          <w:p w14:paraId="41FE15EE">
            <w:pPr>
              <w:rPr>
                <w:rFonts w:hint="eastAsia" w:eastAsia="宋体"/>
                <w:iCs/>
                <w:lang w:eastAsia="zh-CN"/>
              </w:rPr>
            </w:pPr>
            <w:r>
              <w:rPr>
                <w:iCs/>
              </w:rPr>
              <w:t>EU-TBT Enquiry Point</w:t>
            </w:r>
            <w:r>
              <w:rPr>
                <w:rFonts w:hint="eastAsia" w:eastAsia="宋体"/>
                <w:iCs/>
                <w:lang w:eastAsia="zh-CN"/>
              </w:rPr>
              <w:t>，</w:t>
            </w:r>
          </w:p>
          <w:p w14:paraId="4B9C18F0">
            <w:pPr>
              <w:rPr>
                <w:rFonts w:hint="eastAsia" w:eastAsia="宋体"/>
                <w:iCs/>
                <w:lang w:eastAsia="zh-CN"/>
              </w:rPr>
            </w:pPr>
            <w:r>
              <w:rPr>
                <w:iCs/>
              </w:rPr>
              <w:t>Fax: + (32) 2299 8043</w:t>
            </w:r>
            <w:r>
              <w:rPr>
                <w:rFonts w:hint="eastAsia" w:eastAsia="宋体"/>
                <w:iCs/>
                <w:lang w:eastAsia="zh-CN"/>
              </w:rPr>
              <w:t>，</w:t>
            </w:r>
          </w:p>
          <w:p w14:paraId="3E7581FC">
            <w:pPr>
              <w:rPr>
                <w:iCs/>
              </w:rPr>
            </w:pPr>
            <w:r>
              <w:rPr>
                <w:iCs/>
              </w:rPr>
              <w:t xml:space="preserve">E-mail: </w:t>
            </w:r>
            <w:r>
              <w:fldChar w:fldCharType="begin"/>
            </w:r>
            <w:r>
              <w:instrText xml:space="preserve"> HYPERLINK "mailto:grow-eu-tbt@ec.europa.eu" </w:instrText>
            </w:r>
            <w:r>
              <w:fldChar w:fldCharType="separate"/>
            </w:r>
            <w:r>
              <w:rPr>
                <w:iCs/>
                <w:color w:val="0000FF"/>
                <w:u w:val="single"/>
              </w:rPr>
              <w:t>grow-eu-tbt@ec.europa.eu</w:t>
            </w:r>
            <w:r>
              <w:rPr>
                <w:iCs/>
                <w:color w:val="0000FF"/>
                <w:u w:val="single"/>
              </w:rPr>
              <w:fldChar w:fldCharType="end"/>
            </w:r>
          </w:p>
          <w:p w14:paraId="5EDEBAA0">
            <w:pPr>
              <w:pBdr>
                <w:top w:val="none" w:color="auto" w:sz="0" w:space="4"/>
                <w:bottom w:val="none" w:color="auto" w:sz="0" w:space="4"/>
              </w:pBdr>
              <w:rPr>
                <w:iCs/>
                <w:color w:val="0000FF"/>
                <w:u w:val="single"/>
              </w:rPr>
            </w:pPr>
            <w:r>
              <w:rPr>
                <w:iCs/>
              </w:rPr>
              <w:t xml:space="preserve">The text is available on the Website: </w:t>
            </w:r>
            <w:r>
              <w:fldChar w:fldCharType="begin"/>
            </w:r>
            <w:r>
              <w:instrText xml:space="preserve"> HYPERLINK "https://technical-barriers-trade.ec.europa.eu/en/home" \t "_blank" </w:instrText>
            </w:r>
            <w:r>
              <w:fldChar w:fldCharType="separate"/>
            </w:r>
            <w:r>
              <w:rPr>
                <w:iCs/>
                <w:color w:val="0000FF"/>
                <w:u w:val="single"/>
              </w:rPr>
              <w:t>https://technical-barriers-trade.ec.europa.eu/en/home</w:t>
            </w:r>
            <w:r>
              <w:rPr>
                <w:iCs/>
                <w:color w:val="0000FF"/>
                <w:u w:val="single"/>
              </w:rPr>
              <w:fldChar w:fldCharType="end"/>
            </w:r>
          </w:p>
          <w:p w14:paraId="3B53E9AC">
            <w:pPr>
              <w:pBdr>
                <w:top w:val="none" w:color="auto" w:sz="0" w:space="4"/>
                <w:bottom w:val="none" w:color="auto" w:sz="0" w:space="4"/>
              </w:pBdr>
              <w:rPr>
                <w:iCs/>
                <w:color w:val="0000FF"/>
                <w:u w:val="single"/>
              </w:rPr>
            </w:pPr>
          </w:p>
          <w:p w14:paraId="5007A6C3">
            <w:pPr>
              <w:pBdr>
                <w:top w:val="none" w:color="auto" w:sz="0" w:space="4"/>
              </w:pBdr>
              <w:rPr>
                <w:iCs/>
              </w:rPr>
            </w:pPr>
            <w:r>
              <w:fldChar w:fldCharType="begin"/>
            </w:r>
            <w:r>
              <w:instrText xml:space="preserve"> HYPERLINK "https://members.wto.org/crnattachments/2025/TBT/EEC/25_04593_00_e.pdf" \t "_blank" </w:instrText>
            </w:r>
            <w:r>
              <w:fldChar w:fldCharType="separate"/>
            </w:r>
            <w:r>
              <w:rPr>
                <w:iCs/>
                <w:color w:val="0000FF"/>
                <w:u w:val="single"/>
              </w:rPr>
              <w:t>https://members.wto.org/crnattachments/2025/TBT/EEC/25_04593_00_e.pdf</w:t>
            </w:r>
            <w:r>
              <w:rPr>
                <w:iCs/>
                <w:color w:val="0000FF"/>
                <w:u w:val="single"/>
              </w:rPr>
              <w:fldChar w:fldCharType="end"/>
            </w:r>
          </w:p>
          <w:p w14:paraId="509557E9">
            <w:pPr>
              <w:pBdr>
                <w:bottom w:val="none" w:color="auto" w:sz="0" w:space="4"/>
              </w:pBdr>
              <w:rPr>
                <w:iCs/>
              </w:rPr>
            </w:pPr>
            <w:r>
              <w:fldChar w:fldCharType="begin"/>
            </w:r>
            <w:r>
              <w:instrText xml:space="preserve"> HYPERLINK "https://members.wto.org/crnattachments/2025/TBT/EEC/25_04593_01_e.pdf" \t "_blank" </w:instrText>
            </w:r>
            <w:r>
              <w:fldChar w:fldCharType="separate"/>
            </w:r>
            <w:r>
              <w:rPr>
                <w:iCs/>
                <w:color w:val="0000FF"/>
                <w:u w:val="single"/>
              </w:rPr>
              <w:t>https://members.wto.org/crnattachments/2025/TBT/EEC/25_04593_01_e.pdf</w:t>
            </w:r>
            <w:r>
              <w:rPr>
                <w:iCs/>
                <w:color w:val="0000FF"/>
                <w:u w:val="single"/>
              </w:rPr>
              <w:fldChar w:fldCharType="end"/>
            </w:r>
          </w:p>
          <w:p w14:paraId="0C5A7404">
            <w:pPr>
              <w:rPr>
                <w:iCs/>
              </w:rPr>
            </w:pPr>
            <w:r>
              <w:fldChar w:fldCharType="begin"/>
            </w:r>
            <w:r>
              <w:instrText xml:space="preserve"> HYPERLINK "https://eur-lex.europa.eu/legal-content/EN/TXT/PDF/?uri=CELEX:52025PC0503" \t "_blank" </w:instrText>
            </w:r>
            <w:r>
              <w:fldChar w:fldCharType="separate"/>
            </w:r>
            <w:r>
              <w:rPr>
                <w:iCs/>
                <w:color w:val="0000FF"/>
                <w:u w:val="single"/>
              </w:rPr>
              <w:t>https://eur-lex.europa.eu/legal-content/EN/TXT/PDF/?uri=CELEX:52025PC0503</w:t>
            </w:r>
            <w:r>
              <w:rPr>
                <w:iCs/>
                <w:color w:val="0000FF"/>
                <w:u w:val="single"/>
              </w:rPr>
              <w:fldChar w:fldCharType="end"/>
            </w:r>
          </w:p>
          <w:p w14:paraId="62E97537">
            <w:pPr>
              <w:keepNext/>
              <w:keepLines/>
              <w:pBdr>
                <w:top w:val="none" w:color="auto" w:sz="0" w:space="4"/>
              </w:pBdr>
              <w:spacing w:after="120"/>
              <w:rPr>
                <w:bCs/>
              </w:rPr>
            </w:pPr>
          </w:p>
        </w:tc>
      </w:tr>
    </w:tbl>
    <w:p w14:paraId="04010BB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27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DA762">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CB61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A039">
    <w:pPr>
      <w:pStyle w:val="58"/>
      <w:pBdr>
        <w:bottom w:val="single" w:color="auto" w:sz="4" w:space="1"/>
      </w:pBdr>
      <w:tabs>
        <w:tab w:val="clear" w:pos="4513"/>
        <w:tab w:val="clear" w:pos="9027"/>
      </w:tabs>
      <w:jc w:val="center"/>
      <w:rPr>
        <w:rFonts w:hint="eastAsia" w:eastAsia="宋体"/>
        <w:lang w:eastAsia="zh-CN"/>
      </w:rPr>
    </w:pPr>
    <w:bookmarkStart w:id="9" w:name="spsSymbolHeader"/>
    <w:r>
      <w:t>G/TBT/N/EU/114</w:t>
    </w:r>
    <w:bookmarkEnd w:id="9"/>
    <w:r>
      <w:rPr>
        <w:rFonts w:hint="eastAsia" w:eastAsia="宋体"/>
        <w:lang w:val="en-US" w:eastAsia="zh-CN"/>
      </w:rPr>
      <w:t>3</w:t>
    </w:r>
  </w:p>
  <w:p w14:paraId="6E3B6872">
    <w:pPr>
      <w:pStyle w:val="58"/>
      <w:pBdr>
        <w:bottom w:val="single" w:color="auto" w:sz="4" w:space="1"/>
      </w:pBdr>
      <w:tabs>
        <w:tab w:val="clear" w:pos="4513"/>
        <w:tab w:val="clear" w:pos="9027"/>
      </w:tabs>
      <w:jc w:val="center"/>
    </w:pPr>
  </w:p>
  <w:p w14:paraId="7822D10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AB9DDD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30DA">
    <w:pPr>
      <w:pStyle w:val="58"/>
      <w:pBdr>
        <w:bottom w:val="single" w:color="auto" w:sz="4" w:space="1"/>
      </w:pBdr>
      <w:tabs>
        <w:tab w:val="clear" w:pos="4513"/>
        <w:tab w:val="clear" w:pos="9027"/>
      </w:tabs>
      <w:jc w:val="center"/>
    </w:pPr>
    <w:r>
      <w:t>tbtSymbol</w:t>
    </w:r>
  </w:p>
  <w:p w14:paraId="7100E3A6">
    <w:pPr>
      <w:pStyle w:val="58"/>
      <w:pBdr>
        <w:bottom w:val="single" w:color="auto" w:sz="4" w:space="1"/>
      </w:pBdr>
      <w:tabs>
        <w:tab w:val="clear" w:pos="4513"/>
        <w:tab w:val="clear" w:pos="9027"/>
      </w:tabs>
      <w:jc w:val="center"/>
    </w:pPr>
  </w:p>
  <w:p w14:paraId="4A2A49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3639F7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F45AD6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BFA45D4">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55A271">
          <w:pPr>
            <w:jc w:val="right"/>
            <w:rPr>
              <w:b/>
              <w:color w:val="FF0000"/>
              <w:szCs w:val="16"/>
            </w:rPr>
          </w:pPr>
        </w:p>
      </w:tc>
    </w:tr>
    <w:bookmarkEnd w:id="0"/>
    <w:tr w14:paraId="77B9D05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F194478">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7648E74">
          <w:pPr>
            <w:jc w:val="right"/>
            <w:rPr>
              <w:b/>
              <w:szCs w:val="16"/>
            </w:rPr>
          </w:pPr>
        </w:p>
      </w:tc>
    </w:tr>
    <w:tr w14:paraId="662C890A">
      <w:tblPrEx>
        <w:tblCellMar>
          <w:top w:w="0" w:type="dxa"/>
          <w:left w:w="0" w:type="dxa"/>
          <w:bottom w:w="0" w:type="dxa"/>
          <w:right w:w="0" w:type="dxa"/>
        </w:tblCellMar>
      </w:tblPrEx>
      <w:trPr>
        <w:trHeight w:val="876" w:hRule="atLeast"/>
        <w:jc w:val="center"/>
      </w:trPr>
      <w:tc>
        <w:tcPr>
          <w:tcW w:w="3794" w:type="dxa"/>
          <w:vMerge w:val="continue"/>
          <w:shd w:val="clear" w:color="auto" w:fill="FFFFFF"/>
          <w:tcMar>
            <w:left w:w="108" w:type="dxa"/>
            <w:right w:w="108" w:type="dxa"/>
          </w:tcMar>
        </w:tcPr>
        <w:p w14:paraId="2E7A1EB4">
          <w:pPr>
            <w:jc w:val="left"/>
            <w:rPr>
              <w:lang w:eastAsia="en-GB"/>
            </w:rPr>
          </w:pPr>
        </w:p>
      </w:tc>
      <w:tc>
        <w:tcPr>
          <w:tcW w:w="5448" w:type="dxa"/>
          <w:gridSpan w:val="2"/>
          <w:shd w:val="clear" w:color="auto" w:fill="FFFFFF"/>
          <w:tcMar>
            <w:left w:w="108" w:type="dxa"/>
            <w:right w:w="108" w:type="dxa"/>
          </w:tcMar>
        </w:tcPr>
        <w:p w14:paraId="1DF8A05B">
          <w:pPr>
            <w:jc w:val="right"/>
            <w:rPr>
              <w:rFonts w:hint="eastAsia" w:eastAsia="宋体"/>
              <w:b/>
              <w:szCs w:val="16"/>
              <w:lang w:eastAsia="zh-CN"/>
            </w:rPr>
          </w:pPr>
          <w:bookmarkStart w:id="1" w:name="bmkSymbols"/>
          <w:r>
            <w:rPr>
              <w:b/>
              <w:szCs w:val="16"/>
            </w:rPr>
            <w:t>G/TBT/N/EU/114</w:t>
          </w:r>
          <w:bookmarkEnd w:id="1"/>
          <w:r>
            <w:rPr>
              <w:rFonts w:hint="eastAsia" w:eastAsia="宋体"/>
              <w:b/>
              <w:szCs w:val="16"/>
              <w:lang w:val="en-US" w:eastAsia="zh-CN"/>
            </w:rPr>
            <w:t>5</w:t>
          </w:r>
        </w:p>
      </w:tc>
    </w:tr>
    <w:tr w14:paraId="5F32F65C">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592377F"/>
      </w:tc>
      <w:tc>
        <w:tcPr>
          <w:tcW w:w="5448" w:type="dxa"/>
          <w:gridSpan w:val="2"/>
          <w:shd w:val="clear" w:color="auto" w:fill="FFFFFF"/>
          <w:tcMar>
            <w:left w:w="108" w:type="dxa"/>
            <w:right w:w="108" w:type="dxa"/>
          </w:tcMar>
          <w:vAlign w:val="center"/>
        </w:tcPr>
        <w:p w14:paraId="6567EE6F">
          <w:pPr>
            <w:jc w:val="right"/>
            <w:rPr>
              <w:szCs w:val="16"/>
            </w:rPr>
          </w:pPr>
          <w:bookmarkStart w:id="2" w:name="spsDateDistribution"/>
          <w:bookmarkStart w:id="3" w:name="bmkDate"/>
          <w:r>
            <w:rPr>
              <w:rFonts w:hint="eastAsia" w:eastAsia="宋体"/>
              <w:szCs w:val="16"/>
              <w:lang w:val="en-US" w:eastAsia="zh-CN"/>
            </w:rPr>
            <w:t>14</w:t>
          </w:r>
          <w:r>
            <w:rPr>
              <w:szCs w:val="16"/>
            </w:rPr>
            <w:t xml:space="preserve"> July 2025</w:t>
          </w:r>
          <w:bookmarkEnd w:id="2"/>
          <w:bookmarkEnd w:id="3"/>
        </w:p>
      </w:tc>
    </w:tr>
    <w:tr w14:paraId="48AC51C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121FFB0">
          <w:pPr>
            <w:jc w:val="left"/>
            <w:rPr>
              <w:b/>
            </w:rPr>
          </w:pPr>
          <w:bookmarkStart w:id="4" w:name="bmkSerial"/>
          <w:r>
            <w:rPr>
              <w:b w:val="0"/>
              <w:color w:val="FF0000"/>
            </w:rPr>
            <w:t>(25-</w:t>
          </w:r>
          <w:r>
            <w:rPr>
              <w:rFonts w:hint="eastAsia" w:eastAsia="宋体"/>
              <w:b w:val="0"/>
              <w:color w:val="FF0000"/>
              <w:lang w:val="en-US" w:eastAsia="zh-CN"/>
            </w:rPr>
            <w:t>4510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05ADBBA">
          <w:pPr>
            <w:jc w:val="right"/>
            <w:rPr>
              <w:rFonts w:hint="eastAsia" w:eastAsia="宋体"/>
              <w:szCs w:val="16"/>
              <w:lang w:eastAsia="zh-CN"/>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bookmarkEnd w:id="5"/>
          <w:r>
            <w:rPr>
              <w:rFonts w:hint="eastAsia" w:eastAsia="宋体"/>
              <w:bCs/>
              <w:szCs w:val="16"/>
              <w:lang w:val="en-US" w:eastAsia="zh-CN"/>
            </w:rPr>
            <w:t>4</w:t>
          </w:r>
        </w:p>
      </w:tc>
    </w:tr>
    <w:tr w14:paraId="10EAD70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5CA05A7">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247A0A7">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C46D48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447E"/>
    <w:rsid w:val="00623F9F"/>
    <w:rsid w:val="00643C1F"/>
    <w:rsid w:val="00655881"/>
    <w:rsid w:val="0066043C"/>
    <w:rsid w:val="006607BC"/>
    <w:rsid w:val="00672511"/>
    <w:rsid w:val="00674CCD"/>
    <w:rsid w:val="00682D50"/>
    <w:rsid w:val="006845EE"/>
    <w:rsid w:val="00685F53"/>
    <w:rsid w:val="0069259F"/>
    <w:rsid w:val="00696B74"/>
    <w:rsid w:val="006A72C8"/>
    <w:rsid w:val="006D6F16"/>
    <w:rsid w:val="006E4336"/>
    <w:rsid w:val="006F35A6"/>
    <w:rsid w:val="006F3CB4"/>
    <w:rsid w:val="006F5826"/>
    <w:rsid w:val="006F731C"/>
    <w:rsid w:val="00700181"/>
    <w:rsid w:val="00710140"/>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139546B"/>
    <w:rsid w:val="05215F28"/>
    <w:rsid w:val="31A21B58"/>
    <w:rsid w:val="553158DD"/>
    <w:rsid w:val="558F0311"/>
    <w:rsid w:val="7A5C3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uiPriority="99" w:name="HTML Cite"/>
    <w:lsdException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4</Pages>
  <Words>1330</Words>
  <Characters>8200</Characters>
  <Lines>21</Lines>
  <Paragraphs>6</Paragraphs>
  <TotalTime>0</TotalTime>
  <ScaleCrop>false</ScaleCrop>
  <LinksUpToDate>false</LinksUpToDate>
  <CharactersWithSpaces>9471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2025-06-12T13:24:00Z</dcterms:created>
  <dc:creator>mark louie medidas</dc:creator>
  <dc:description>LDIMD - DTU</dc:description>
  <cp:lastModifiedBy> 譞譞</cp:lastModifiedBy>
  <dcterms:modified xsi:type="dcterms:W3CDTF">2025-07-14T12:56:50Z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CB7A35CD87CE4A90B5BBAD87D87BCB47_12</vt:lpwstr>
  </property>
</Properties>
</file>