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09312">
      <w:pPr>
        <w:pStyle w:val="84"/>
        <w:rPr>
          <w:caps w:val="0"/>
          <w:kern w:val="0"/>
        </w:rPr>
      </w:pPr>
      <w:r>
        <w:rPr>
          <w:caps w:val="0"/>
          <w:kern w:val="0"/>
        </w:rPr>
        <w:t>NOTIFICATION</w:t>
      </w:r>
    </w:p>
    <w:p w14:paraId="0C96C886">
      <w:pPr>
        <w:jc w:val="center"/>
      </w:pPr>
      <w:r>
        <w:t>The following notification is being circulated in accordance with Article 10.6</w:t>
      </w:r>
    </w:p>
    <w:p w14:paraId="0F976BE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847035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3F12A793">
            <w:pPr>
              <w:spacing w:before="120" w:after="120"/>
              <w:jc w:val="left"/>
            </w:pPr>
            <w:r>
              <w:rPr>
                <w:b/>
              </w:rPr>
              <w:t>1.</w:t>
            </w:r>
          </w:p>
        </w:tc>
        <w:tc>
          <w:tcPr>
            <w:tcW w:w="8546" w:type="dxa"/>
            <w:tcBorders>
              <w:bottom w:val="single" w:color="auto" w:sz="6" w:space="0"/>
            </w:tcBorders>
            <w:shd w:val="clear" w:color="auto" w:fill="auto"/>
          </w:tcPr>
          <w:p w14:paraId="49B39083">
            <w:pPr>
              <w:spacing w:before="120" w:after="120"/>
            </w:pPr>
            <w:r>
              <w:rPr>
                <w:b/>
              </w:rPr>
              <w:t>Notifying Member:</w:t>
            </w:r>
            <w:r>
              <w:t xml:space="preserve"> </w:t>
            </w:r>
            <w:r>
              <w:rPr>
                <w:u w:val="single"/>
              </w:rPr>
              <w:t>SOUTH AFRICA</w:t>
            </w:r>
          </w:p>
          <w:p w14:paraId="08BBD0D4">
            <w:pPr>
              <w:spacing w:after="120"/>
            </w:pPr>
            <w:r>
              <w:rPr>
                <w:b/>
              </w:rPr>
              <w:t>If applicable, name of local government involved (Article 3.2 and 7.2):</w:t>
            </w:r>
            <w:r>
              <w:t xml:space="preserve"> </w:t>
            </w:r>
          </w:p>
        </w:tc>
      </w:tr>
      <w:tr w14:paraId="29EEF63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757445E">
            <w:pPr>
              <w:spacing w:before="120" w:after="120"/>
              <w:jc w:val="left"/>
            </w:pPr>
            <w:r>
              <w:rPr>
                <w:b/>
              </w:rPr>
              <w:t>2.</w:t>
            </w:r>
          </w:p>
        </w:tc>
        <w:tc>
          <w:tcPr>
            <w:tcW w:w="8546" w:type="dxa"/>
            <w:tcBorders>
              <w:top w:val="single" w:color="auto" w:sz="6" w:space="0"/>
              <w:bottom w:val="single" w:color="auto" w:sz="6" w:space="0"/>
            </w:tcBorders>
            <w:shd w:val="clear" w:color="auto" w:fill="auto"/>
          </w:tcPr>
          <w:p w14:paraId="79E6B358">
            <w:pPr>
              <w:spacing w:before="120" w:after="120"/>
            </w:pPr>
            <w:r>
              <w:rPr>
                <w:b/>
              </w:rPr>
              <w:t>Agency responsible:</w:t>
            </w:r>
            <w:r>
              <w:t xml:space="preserve"> </w:t>
            </w:r>
          </w:p>
          <w:p w14:paraId="58303140">
            <w:r>
              <w:t>SOUTH AFRICAN BUREAU OF STANDARDS</w:t>
            </w:r>
          </w:p>
          <w:p w14:paraId="4BDE40F0">
            <w:r>
              <w:t>1 Dr Lategan Road, Groenkloof</w:t>
            </w:r>
          </w:p>
          <w:p w14:paraId="286E051D">
            <w:r>
              <w:t>Private Bag X191</w:t>
            </w:r>
          </w:p>
          <w:p w14:paraId="1FC6FFC8">
            <w:r>
              <w:t>Pretoria, 0001</w:t>
            </w:r>
          </w:p>
          <w:p w14:paraId="304F51C1">
            <w:r>
              <w:t>Tel +27 (0) 12 428 6229</w:t>
            </w:r>
          </w:p>
          <w:p w14:paraId="511B2A27">
            <w:pPr>
              <w:spacing w:after="120"/>
              <w:rPr>
                <w:color w:val="0000FF"/>
                <w:u w:val="single"/>
              </w:rPr>
            </w:pPr>
            <w:r>
              <w:fldChar w:fldCharType="begin"/>
            </w:r>
            <w:r>
              <w:instrText xml:space="preserve"> HYPERLINK "mailto:Dineo.Seroba@sabs.co.za" </w:instrText>
            </w:r>
            <w:r>
              <w:fldChar w:fldCharType="separate"/>
            </w:r>
            <w:r>
              <w:rPr>
                <w:color w:val="0000FF"/>
                <w:u w:val="single"/>
              </w:rPr>
              <w:t>Dineo.Seroba@sabs.co.za</w:t>
            </w:r>
            <w:r>
              <w:rPr>
                <w:color w:val="0000FF"/>
                <w:u w:val="single"/>
              </w:rPr>
              <w:fldChar w:fldCharType="end"/>
            </w:r>
          </w:p>
          <w:p w14:paraId="7B27337B">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21820BB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F6756B2">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A75BA8A">
            <w:pPr>
              <w:spacing w:before="120" w:after="120"/>
            </w:pPr>
            <w:r>
              <w:rPr>
                <w:b/>
              </w:rPr>
              <w:t>Notified under Article 2.9.2 [</w:t>
            </w:r>
            <w:r>
              <w:rPr>
                <w:rFonts w:hint="eastAsia" w:eastAsia="宋体"/>
                <w:b/>
                <w:lang w:val="en-US" w:eastAsia="zh-CN"/>
              </w:rPr>
              <w:t xml:space="preserve"> </w:t>
            </w:r>
            <w:r>
              <w:rPr>
                <w:b/>
              </w:rPr>
              <w:t>], 2.10.1 [ ], 5.6.2 [X], 5.7.1 [ ], 3.2 [ ], 7.2 [ ], other:</w:t>
            </w:r>
            <w:r>
              <w:t xml:space="preserve"> </w:t>
            </w:r>
          </w:p>
        </w:tc>
      </w:tr>
      <w:tr w14:paraId="4399BEF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5090FB4">
            <w:pPr>
              <w:spacing w:before="120" w:after="120"/>
              <w:jc w:val="left"/>
            </w:pPr>
            <w:r>
              <w:rPr>
                <w:b/>
              </w:rPr>
              <w:t>4.</w:t>
            </w:r>
          </w:p>
        </w:tc>
        <w:tc>
          <w:tcPr>
            <w:tcW w:w="8546" w:type="dxa"/>
            <w:tcBorders>
              <w:top w:val="single" w:color="auto" w:sz="6" w:space="0"/>
              <w:bottom w:val="single" w:color="auto" w:sz="6" w:space="0"/>
            </w:tcBorders>
            <w:shd w:val="clear" w:color="auto" w:fill="auto"/>
          </w:tcPr>
          <w:p w14:paraId="1373E9D4">
            <w:pPr>
              <w:spacing w:before="120" w:after="120"/>
            </w:pPr>
            <w:r>
              <w:rPr>
                <w:b/>
              </w:rPr>
              <w:t>Products covered (HS or CCCN where applicable, otherwise national tariff heading. ICS numbers may be provided in addition, where applicable):</w:t>
            </w:r>
            <w:r>
              <w:t xml:space="preserve"> Textiles - Agro shade nets - Specification - Part 1: Nets made from tape yarns</w:t>
            </w:r>
          </w:p>
          <w:p w14:paraId="5330D66F">
            <w:pPr>
              <w:spacing w:before="120" w:after="120"/>
            </w:pPr>
            <w:r>
              <w:t>Textiles— Agro shade nets —Specification —Part 2: Nets made from mono filament yarns</w:t>
            </w:r>
          </w:p>
        </w:tc>
      </w:tr>
      <w:tr w14:paraId="3798443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C3ED9DF">
            <w:pPr>
              <w:spacing w:before="120" w:after="120"/>
              <w:jc w:val="left"/>
            </w:pPr>
            <w:r>
              <w:rPr>
                <w:b/>
              </w:rPr>
              <w:t>5.</w:t>
            </w:r>
          </w:p>
        </w:tc>
        <w:tc>
          <w:tcPr>
            <w:tcW w:w="8546" w:type="dxa"/>
            <w:tcBorders>
              <w:top w:val="single" w:color="auto" w:sz="6" w:space="0"/>
              <w:bottom w:val="single" w:color="auto" w:sz="6" w:space="0"/>
            </w:tcBorders>
            <w:shd w:val="clear" w:color="auto" w:fill="auto"/>
          </w:tcPr>
          <w:p w14:paraId="78DD3E4D">
            <w:pPr>
              <w:spacing w:before="120" w:after="120"/>
            </w:pPr>
            <w:r>
              <w:rPr>
                <w:b/>
              </w:rPr>
              <w:t>Title, number of pages and language(s) of the notified document:</w:t>
            </w:r>
            <w:r>
              <w:t xml:space="preserve">  Textiles - Agro shade nets - Specification - Part 1: Nets made from tape yarns</w:t>
            </w:r>
          </w:p>
          <w:p w14:paraId="1DADD64E">
            <w:pPr>
              <w:spacing w:before="120" w:after="120"/>
            </w:pPr>
            <w:r>
              <w:t>Textiles— Agro shade nets —Specification —Part 2: Nets made from mono filament yarns; (13 page(s), in English), (13 page(s), in English)</w:t>
            </w:r>
          </w:p>
        </w:tc>
      </w:tr>
      <w:tr w14:paraId="366218E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77DCE71">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6065A46F">
            <w:pPr>
              <w:spacing w:before="120" w:after="120"/>
            </w:pPr>
            <w:r>
              <w:rPr>
                <w:b/>
              </w:rPr>
              <w:t>Description of content:</w:t>
            </w:r>
            <w:r>
              <w:t xml:space="preserve"> </w:t>
            </w:r>
          </w:p>
          <w:p w14:paraId="6014D2FE">
            <w:pPr>
              <w:numPr>
                <w:ilvl w:val="0"/>
                <w:numId w:val="7"/>
              </w:numPr>
              <w:spacing w:before="120" w:after="120"/>
            </w:pPr>
            <w:r>
              <w:t>This Draft African Standard specifies the requirements, test methods, and sampling for shade nets made from tape yarns intended for use in agriculture</w:t>
            </w:r>
          </w:p>
          <w:p w14:paraId="7A3B1673">
            <w:pPr>
              <w:spacing w:before="120" w:after="120"/>
            </w:pPr>
            <w:r>
              <w:t>2. This Draft African Standard specifies the requirements, test methods, and sampling for shade nets made from mono filament yarns intended for use in agriculture.</w:t>
            </w:r>
          </w:p>
        </w:tc>
      </w:tr>
      <w:tr w14:paraId="4F37044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C633DCC">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3646A50F">
            <w:pPr>
              <w:spacing w:before="120" w:after="120"/>
              <w:rPr>
                <w:b/>
              </w:rPr>
            </w:pPr>
            <w:r>
              <w:rPr>
                <w:b/>
              </w:rPr>
              <w:t>Objective and rationale, including the nature of urgent problems where applicable:</w:t>
            </w:r>
            <w:r>
              <w:t xml:space="preserve"> Harmonization; Reducing trade barriers and facilitating trade</w:t>
            </w:r>
          </w:p>
        </w:tc>
      </w:tr>
      <w:tr w14:paraId="3D642D9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CAC94E7">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53D92BB9">
            <w:pPr>
              <w:spacing w:before="120" w:after="120"/>
              <w:rPr>
                <w:bCs/>
              </w:rPr>
            </w:pPr>
            <w:r>
              <w:rPr>
                <w:b/>
              </w:rPr>
              <w:t>Relevant documents:</w:t>
            </w:r>
            <w:r>
              <w:t xml:space="preserve"> </w:t>
            </w:r>
          </w:p>
          <w:p w14:paraId="41CD218A">
            <w:pPr>
              <w:spacing w:before="120" w:after="120"/>
            </w:pPr>
            <w:r>
              <w:t xml:space="preserve">ISO 3801, </w:t>
            </w:r>
            <w:r>
              <w:rPr>
                <w:i/>
                <w:iCs/>
              </w:rPr>
              <w:t>Textiles — Woven fabrics — Determination of mass per unit length and mass per unit area</w:t>
            </w:r>
          </w:p>
          <w:p w14:paraId="758C76BC">
            <w:pPr>
              <w:spacing w:before="120" w:after="120"/>
            </w:pPr>
            <w:r>
              <w:t xml:space="preserve">ISO 13934-1, </w:t>
            </w:r>
            <w:r>
              <w:rPr>
                <w:i/>
                <w:iCs/>
              </w:rPr>
              <w:t>Textiles — Woven fabrics — Determination of breaking load and extension</w:t>
            </w:r>
          </w:p>
          <w:p w14:paraId="28B3FA2B">
            <w:pPr>
              <w:spacing w:before="120" w:after="120"/>
            </w:pPr>
            <w:r>
              <w:t xml:space="preserve">ISO 105-B01, </w:t>
            </w:r>
            <w:r>
              <w:rPr>
                <w:i/>
                <w:iCs/>
              </w:rPr>
              <w:t>Textiles — Tests for colour fastness — Colour fastness to light Daylight</w:t>
            </w:r>
          </w:p>
          <w:p w14:paraId="1B90FE71">
            <w:pPr>
              <w:spacing w:before="120" w:after="120"/>
            </w:pPr>
            <w:r>
              <w:t xml:space="preserve">ISO 22198, </w:t>
            </w:r>
            <w:r>
              <w:rPr>
                <w:i/>
                <w:iCs/>
              </w:rPr>
              <w:t>Textiles - Fabrics - Determination of width and length</w:t>
            </w:r>
          </w:p>
          <w:p w14:paraId="71166155">
            <w:pPr>
              <w:spacing w:before="120" w:after="120"/>
            </w:pPr>
            <w:r>
              <w:t xml:space="preserve">ISO 139, </w:t>
            </w:r>
            <w:r>
              <w:rPr>
                <w:i/>
                <w:iCs/>
              </w:rPr>
              <w:t>Textiles – Standard atmospheres for conditioning and testing</w:t>
            </w:r>
          </w:p>
        </w:tc>
      </w:tr>
      <w:tr w14:paraId="1D08DD2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4735EAFF">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7A851D1D">
            <w:pPr>
              <w:spacing w:before="120" w:after="120"/>
            </w:pPr>
            <w:r>
              <w:rPr>
                <w:b/>
              </w:rPr>
              <w:t>Proposed date of adoption:</w:t>
            </w:r>
            <w:r>
              <w:t xml:space="preserve"> To be determined</w:t>
            </w:r>
          </w:p>
          <w:p w14:paraId="5FBAD1A0">
            <w:pPr>
              <w:spacing w:after="120"/>
            </w:pPr>
            <w:r>
              <w:rPr>
                <w:b/>
              </w:rPr>
              <w:t>Proposed date of entry into force:</w:t>
            </w:r>
            <w:r>
              <w:t xml:space="preserve"> To be determined</w:t>
            </w:r>
          </w:p>
        </w:tc>
      </w:tr>
      <w:tr w14:paraId="35C4C4B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81864C6">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5ADEF0B2">
            <w:pPr>
              <w:spacing w:before="120" w:after="120"/>
              <w:rPr>
                <w:rFonts w:hint="eastAsia" w:eastAsia="宋体"/>
                <w:lang w:eastAsia="zh-CN"/>
              </w:rPr>
            </w:pPr>
            <w:r>
              <w:rPr>
                <w:b/>
              </w:rPr>
              <w:t>Final date for comments:</w:t>
            </w:r>
            <w:r>
              <w:t xml:space="preserve"> 11 August 2025</w:t>
            </w:r>
            <w:r>
              <w:rPr>
                <w:rFonts w:hint="eastAsia" w:eastAsia="宋体"/>
                <w:lang w:eastAsia="zh-CN"/>
              </w:rPr>
              <w:t>，</w:t>
            </w:r>
          </w:p>
          <w:p w14:paraId="00877623">
            <w:pPr>
              <w:spacing w:before="120" w:after="120"/>
            </w:pPr>
            <w:r>
              <w:rPr>
                <w:b/>
                <w:bCs/>
              </w:rPr>
              <w:t>Contact details of agency or authority designated to handle comments regarding the notification:</w:t>
            </w:r>
            <w:r>
              <w:t xml:space="preserve"> </w:t>
            </w:r>
          </w:p>
          <w:p w14:paraId="67CBC03B">
            <w:r>
              <w:t>South African Bureau of Standards (SABS)</w:t>
            </w:r>
          </w:p>
          <w:p w14:paraId="0E9A7506">
            <w:r>
              <w:t>Ms. Nokubongwa Mvelase</w:t>
            </w:r>
          </w:p>
          <w:p w14:paraId="56882119">
            <w:r>
              <w:t>Officer: WTO TBT Enquiry Point</w:t>
            </w:r>
          </w:p>
          <w:p w14:paraId="3F6AA595">
            <w:r>
              <w:t>Stakeholder Relations Department</w:t>
            </w:r>
          </w:p>
          <w:p w14:paraId="795F1560">
            <w:r>
              <w:t>1 Dr Lategan Road, Groenkloof</w:t>
            </w:r>
          </w:p>
          <w:p w14:paraId="4FC3F252">
            <w:r>
              <w:t>Private Bag X191</w:t>
            </w:r>
          </w:p>
          <w:p w14:paraId="2B3403BD">
            <w:r>
              <w:t>Pretoria 0001</w:t>
            </w:r>
          </w:p>
          <w:p w14:paraId="05803C3C">
            <w:r>
              <w:t>Tel: +(27) 12 428 6125</w:t>
            </w:r>
          </w:p>
          <w:p w14:paraId="239383B8">
            <w:r>
              <w:t xml:space="preserve">Email: </w:t>
            </w:r>
            <w:r>
              <w:fldChar w:fldCharType="begin"/>
            </w:r>
            <w:r>
              <w:instrText xml:space="preserve"> HYPERLINK "mailto:wto@sabs.co.za" </w:instrText>
            </w:r>
            <w:r>
              <w:fldChar w:fldCharType="separate"/>
            </w:r>
            <w:r>
              <w:rPr>
                <w:color w:val="0000FF"/>
                <w:u w:val="single"/>
              </w:rPr>
              <w:t>wto@sabs.co.za</w:t>
            </w:r>
            <w:r>
              <w:rPr>
                <w:color w:val="0000FF"/>
                <w:u w:val="single"/>
              </w:rPr>
              <w:fldChar w:fldCharType="end"/>
            </w:r>
          </w:p>
          <w:p w14:paraId="415D3D7B">
            <w:pPr>
              <w:spacing w:before="120" w:after="120"/>
              <w:rPr>
                <w:rFonts w:hint="eastAsia" w:eastAsia="宋体"/>
                <w:lang w:eastAsia="zh-CN"/>
              </w:rPr>
            </w:pPr>
            <w:r>
              <w:t xml:space="preserve">Website: </w:t>
            </w:r>
            <w:r>
              <w:fldChar w:fldCharType="begin"/>
            </w:r>
            <w:r>
              <w:instrText xml:space="preserve"> HYPERLINK "http://www.sabs.co.za" \t "_blank" </w:instrText>
            </w:r>
            <w:r>
              <w:fldChar w:fldCharType="separate"/>
            </w:r>
            <w:r>
              <w:rPr>
                <w:color w:val="0000FF"/>
                <w:u w:val="single"/>
              </w:rPr>
              <w:t>http://www.sabs.co.za</w:t>
            </w:r>
            <w:r>
              <w:rPr>
                <w:color w:val="0000FF"/>
                <w:u w:val="single"/>
              </w:rPr>
              <w:fldChar w:fldCharType="end"/>
            </w:r>
          </w:p>
        </w:tc>
      </w:tr>
      <w:tr w14:paraId="191813B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58BC6BF6">
            <w:pPr>
              <w:keepNext/>
              <w:keepLines/>
              <w:spacing w:before="120" w:after="120"/>
              <w:jc w:val="left"/>
              <w:rPr>
                <w:b/>
              </w:rPr>
            </w:pPr>
            <w:r>
              <w:rPr>
                <w:b/>
              </w:rPr>
              <w:t>11.</w:t>
            </w:r>
          </w:p>
        </w:tc>
        <w:tc>
          <w:tcPr>
            <w:tcW w:w="8546" w:type="dxa"/>
            <w:tcBorders>
              <w:top w:val="single" w:color="auto" w:sz="6" w:space="0"/>
            </w:tcBorders>
            <w:shd w:val="clear" w:color="auto" w:fill="auto"/>
          </w:tcPr>
          <w:p w14:paraId="6C51CC50">
            <w:pPr>
              <w:keepNext/>
              <w:keepLines/>
              <w:spacing w:before="120" w:after="120"/>
              <w:rPr>
                <w:bCs/>
              </w:rPr>
            </w:pPr>
            <w:r>
              <w:rPr>
                <w:b/>
              </w:rPr>
              <w:t>Texts available from: National enquiry point [ ] or address, telephone and fax numbers and email and website addresses, if available, of other body:</w:t>
            </w:r>
            <w:r>
              <w:rPr>
                <w:bCs/>
              </w:rPr>
              <w:t xml:space="preserve"> </w:t>
            </w:r>
          </w:p>
          <w:p w14:paraId="59D32D8A">
            <w:pPr>
              <w:pBdr>
                <w:top w:val="none" w:color="auto" w:sz="0" w:space="4"/>
              </w:pBdr>
              <w:rPr>
                <w:iCs/>
              </w:rPr>
            </w:pPr>
            <w:r>
              <w:fldChar w:fldCharType="begin"/>
            </w:r>
            <w:r>
              <w:instrText xml:space="preserve"> HYPERLINK "https://members.wto.org/crnattachments/2025/TBT/ZAF/25_04586_00_e.pdf" \t "_blank" </w:instrText>
            </w:r>
            <w:r>
              <w:fldChar w:fldCharType="separate"/>
            </w:r>
            <w:r>
              <w:rPr>
                <w:iCs/>
                <w:color w:val="0000FF"/>
                <w:u w:val="single"/>
              </w:rPr>
              <w:t>https://members.wto.org/crnattachments/2025/TBT/ZAF/25_04586_00_e.pdf</w:t>
            </w:r>
            <w:r>
              <w:rPr>
                <w:iCs/>
                <w:color w:val="0000FF"/>
                <w:u w:val="single"/>
              </w:rPr>
              <w:fldChar w:fldCharType="end"/>
            </w:r>
          </w:p>
          <w:p w14:paraId="1586DDD4">
            <w:pPr>
              <w:rPr>
                <w:iCs/>
              </w:rPr>
            </w:pPr>
            <w:r>
              <w:fldChar w:fldCharType="begin"/>
            </w:r>
            <w:r>
              <w:instrText xml:space="preserve"> HYPERLINK "https://members.wto.org/crnattachments/2025/TBT/ZAF/25_04586_01_e.pdf" \t "_blank" </w:instrText>
            </w:r>
            <w:r>
              <w:fldChar w:fldCharType="separate"/>
            </w:r>
            <w:r>
              <w:rPr>
                <w:iCs/>
                <w:color w:val="0000FF"/>
                <w:u w:val="single"/>
              </w:rPr>
              <w:t>https://members.wto.org/crnattachments/2025/TBT/ZAF/25_04586_01_e.pdf</w:t>
            </w:r>
            <w:r>
              <w:rPr>
                <w:iCs/>
                <w:color w:val="0000FF"/>
                <w:u w:val="single"/>
              </w:rPr>
              <w:fldChar w:fldCharType="end"/>
            </w:r>
          </w:p>
          <w:p w14:paraId="71F8C78F">
            <w:pPr>
              <w:rPr>
                <w:iCs/>
              </w:rPr>
            </w:pPr>
            <w:r>
              <w:fldChar w:fldCharType="begin"/>
            </w:r>
            <w:r>
              <w:instrText xml:space="preserve"> HYPERLINK "https://members.wto.org/crnattachments/2025/TBT/ZAF/25_04586_02_e.pdf" \t "_blank" </w:instrText>
            </w:r>
            <w:r>
              <w:fldChar w:fldCharType="separate"/>
            </w:r>
            <w:r>
              <w:rPr>
                <w:iCs/>
                <w:color w:val="0000FF"/>
                <w:u w:val="single"/>
              </w:rPr>
              <w:t>https://members.wto.org/crnattachments/2025/TBT/ZAF/25_04586_02_e.pdf</w:t>
            </w:r>
            <w:r>
              <w:rPr>
                <w:iCs/>
                <w:color w:val="0000FF"/>
                <w:u w:val="single"/>
              </w:rPr>
              <w:fldChar w:fldCharType="end"/>
            </w:r>
          </w:p>
          <w:p w14:paraId="4E87E406">
            <w:pPr>
              <w:keepNext/>
              <w:keepLines/>
              <w:pBdr>
                <w:top w:val="none" w:color="auto" w:sz="0" w:space="4"/>
              </w:pBdr>
              <w:spacing w:after="120"/>
              <w:rPr>
                <w:bCs/>
              </w:rPr>
            </w:pPr>
            <w:r>
              <w:fldChar w:fldCharType="begin"/>
            </w:r>
            <w:r>
              <w:instrText xml:space="preserve"> HYPERLINK "https://members.wto.org/crnattachments/2025/TBT/ZAF/25_04586_03_e.pdf" \t "_blank" </w:instrText>
            </w:r>
            <w:r>
              <w:fldChar w:fldCharType="separate"/>
            </w:r>
            <w:r>
              <w:rPr>
                <w:iCs/>
                <w:color w:val="0000FF"/>
                <w:u w:val="single"/>
              </w:rPr>
              <w:t>https://members.wto.org/crnattachments/2025/TBT/ZAF/25_04586_03_e.pdf</w:t>
            </w:r>
            <w:r>
              <w:rPr>
                <w:iCs/>
                <w:color w:val="0000FF"/>
                <w:u w:val="single"/>
              </w:rPr>
              <w:fldChar w:fldCharType="end"/>
            </w:r>
          </w:p>
        </w:tc>
      </w:tr>
    </w:tbl>
    <w:p w14:paraId="4BB96105">
      <w:bookmarkStart w:id="10" w:name="_GoBack"/>
      <w:bookmarkEnd w:id="10"/>
    </w:p>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C49162">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9319F8">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E78D2">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412FA">
    <w:pPr>
      <w:pStyle w:val="58"/>
      <w:pBdr>
        <w:bottom w:val="single" w:color="auto" w:sz="4" w:space="1"/>
      </w:pBdr>
      <w:tabs>
        <w:tab w:val="clear" w:pos="4513"/>
        <w:tab w:val="clear" w:pos="9027"/>
      </w:tabs>
      <w:jc w:val="center"/>
    </w:pPr>
    <w:bookmarkStart w:id="0" w:name="spsSymbolHeader"/>
    <w:r>
      <w:t>G/TBT/N/ZAF/262</w:t>
    </w:r>
    <w:bookmarkEnd w:id="0"/>
  </w:p>
  <w:p w14:paraId="3028CA7A">
    <w:pPr>
      <w:pStyle w:val="58"/>
      <w:pBdr>
        <w:bottom w:val="single" w:color="auto" w:sz="4" w:space="1"/>
      </w:pBdr>
      <w:tabs>
        <w:tab w:val="clear" w:pos="4513"/>
        <w:tab w:val="clear" w:pos="9027"/>
      </w:tabs>
      <w:jc w:val="center"/>
    </w:pPr>
  </w:p>
  <w:p w14:paraId="27EC7301">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3504A82F">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C0332">
    <w:pPr>
      <w:pStyle w:val="58"/>
      <w:pBdr>
        <w:bottom w:val="single" w:color="auto" w:sz="4" w:space="1"/>
      </w:pBdr>
      <w:tabs>
        <w:tab w:val="clear" w:pos="4513"/>
        <w:tab w:val="clear" w:pos="9027"/>
      </w:tabs>
      <w:jc w:val="center"/>
    </w:pPr>
    <w:r>
      <w:t>tbtSymbol</w:t>
    </w:r>
  </w:p>
  <w:p w14:paraId="171351DC">
    <w:pPr>
      <w:pStyle w:val="58"/>
      <w:pBdr>
        <w:bottom w:val="single" w:color="auto" w:sz="4" w:space="1"/>
      </w:pBdr>
      <w:tabs>
        <w:tab w:val="clear" w:pos="4513"/>
        <w:tab w:val="clear" w:pos="9027"/>
      </w:tabs>
      <w:jc w:val="center"/>
    </w:pPr>
  </w:p>
  <w:p w14:paraId="5B381D57">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2CA8A32">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74FB2BB2">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D99FC62">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3773EA95">
          <w:pPr>
            <w:jc w:val="right"/>
            <w:rPr>
              <w:b/>
              <w:color w:val="FF0000"/>
              <w:szCs w:val="16"/>
            </w:rPr>
          </w:pPr>
        </w:p>
      </w:tc>
    </w:tr>
    <w:bookmarkEnd w:id="1"/>
    <w:tr w14:paraId="49FBEFC2">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62C83623">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35D1BAE7">
          <w:pPr>
            <w:jc w:val="right"/>
            <w:rPr>
              <w:b/>
              <w:szCs w:val="16"/>
            </w:rPr>
          </w:pPr>
        </w:p>
      </w:tc>
    </w:tr>
    <w:tr w14:paraId="5A2E4607">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6129B606">
          <w:pPr>
            <w:jc w:val="left"/>
            <w:rPr>
              <w:lang w:eastAsia="en-GB"/>
            </w:rPr>
          </w:pPr>
        </w:p>
      </w:tc>
      <w:tc>
        <w:tcPr>
          <w:tcW w:w="5448" w:type="dxa"/>
          <w:gridSpan w:val="2"/>
          <w:shd w:val="clear" w:color="auto" w:fill="FFFFFF"/>
          <w:tcMar>
            <w:left w:w="108" w:type="dxa"/>
            <w:right w:w="108" w:type="dxa"/>
          </w:tcMar>
        </w:tcPr>
        <w:p w14:paraId="1838E823">
          <w:pPr>
            <w:jc w:val="right"/>
            <w:rPr>
              <w:rFonts w:hint="eastAsia" w:eastAsia="宋体"/>
              <w:b/>
              <w:szCs w:val="16"/>
              <w:lang w:eastAsia="zh-CN"/>
            </w:rPr>
          </w:pPr>
          <w:bookmarkStart w:id="2" w:name="bmkSymbols"/>
          <w:r>
            <w:rPr>
              <w:b/>
              <w:szCs w:val="16"/>
            </w:rPr>
            <w:t>G/TBT/N/ZAF/26</w:t>
          </w:r>
          <w:bookmarkEnd w:id="2"/>
          <w:r>
            <w:rPr>
              <w:rFonts w:hint="eastAsia" w:eastAsia="宋体"/>
              <w:b/>
              <w:szCs w:val="16"/>
              <w:lang w:val="en-US" w:eastAsia="zh-CN"/>
            </w:rPr>
            <w:t>4</w:t>
          </w:r>
        </w:p>
      </w:tc>
    </w:tr>
    <w:tr w14:paraId="02072699">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3C41670A"/>
      </w:tc>
      <w:tc>
        <w:tcPr>
          <w:tcW w:w="5448" w:type="dxa"/>
          <w:gridSpan w:val="2"/>
          <w:shd w:val="clear" w:color="auto" w:fill="FFFFFF"/>
          <w:tcMar>
            <w:left w:w="108" w:type="dxa"/>
            <w:right w:w="108" w:type="dxa"/>
          </w:tcMar>
          <w:vAlign w:val="center"/>
        </w:tcPr>
        <w:p w14:paraId="341AC513">
          <w:pPr>
            <w:jc w:val="right"/>
            <w:rPr>
              <w:szCs w:val="16"/>
            </w:rPr>
          </w:pPr>
          <w:bookmarkStart w:id="3" w:name="spsDateDistribution"/>
          <w:bookmarkStart w:id="4" w:name="bmkDate"/>
          <w:r>
            <w:rPr>
              <w:szCs w:val="16"/>
            </w:rPr>
            <w:t>11 July 2025</w:t>
          </w:r>
          <w:bookmarkEnd w:id="3"/>
          <w:bookmarkEnd w:id="4"/>
        </w:p>
      </w:tc>
    </w:tr>
    <w:tr w14:paraId="47E23670">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67607400">
          <w:pPr>
            <w:jc w:val="left"/>
            <w:rPr>
              <w:b/>
            </w:rPr>
          </w:pPr>
          <w:bookmarkStart w:id="5" w:name="bmkSerial"/>
          <w:r>
            <w:rPr>
              <w:b w:val="0"/>
              <w:color w:val="FF0000"/>
            </w:rPr>
            <w:t>(25-</w:t>
          </w:r>
          <w:r>
            <w:rPr>
              <w:rFonts w:hint="eastAsia" w:eastAsia="宋体"/>
              <w:b w:val="0"/>
              <w:color w:val="FF0000"/>
              <w:lang w:val="en-US" w:eastAsia="zh-CN"/>
            </w:rPr>
            <w:t>4491</w:t>
          </w:r>
          <w:r>
            <w:rPr>
              <w:b w:val="0"/>
              <w:color w:val="FF0000"/>
            </w:rPr>
            <w:t>)</w:t>
          </w:r>
          <w:bookmarkEnd w:id="5"/>
        </w:p>
      </w:tc>
      <w:tc>
        <w:tcPr>
          <w:tcW w:w="3325" w:type="dxa"/>
          <w:tcBorders>
            <w:bottom w:val="single" w:color="auto" w:sz="4" w:space="0"/>
          </w:tcBorders>
          <w:tcMar>
            <w:top w:w="0" w:type="dxa"/>
            <w:left w:w="108" w:type="dxa"/>
            <w:bottom w:w="57" w:type="dxa"/>
            <w:right w:w="108" w:type="dxa"/>
          </w:tcMar>
          <w:vAlign w:val="bottom"/>
        </w:tcPr>
        <w:p w14:paraId="7A4F1B96">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bCs/>
              <w:szCs w:val="16"/>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bCs/>
              <w:szCs w:val="16"/>
            </w:rPr>
            <w:t>1</w:t>
          </w:r>
          <w:r>
            <w:rPr>
              <w:bCs/>
              <w:szCs w:val="16"/>
            </w:rPr>
            <w:fldChar w:fldCharType="end"/>
          </w:r>
          <w:bookmarkEnd w:id="6"/>
        </w:p>
      </w:tc>
    </w:tr>
    <w:tr w14:paraId="29D20BC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4C4F44B9">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180C457A">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7A198197">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179B85"/>
    <w:multiLevelType w:val="singleLevel"/>
    <w:tmpl w:val="AC179B85"/>
    <w:lvl w:ilvl="0" w:tentative="0">
      <w:start w:val="1"/>
      <w:numFmt w:val="decimal"/>
      <w:suff w:val="space"/>
      <w:lvlText w:val="%1."/>
      <w:lvlJc w:val="left"/>
    </w:lvl>
  </w:abstractNum>
  <w:abstractNum w:abstractNumId="1">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2">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3">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4">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5">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6">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
  </w:num>
  <w:num w:numId="2">
    <w:abstractNumId w:val="4"/>
  </w:num>
  <w:num w:numId="3">
    <w:abstractNumId w:val="1"/>
  </w:num>
  <w:num w:numId="4">
    <w:abstractNumId w:val="5"/>
  </w:num>
  <w:num w:numId="5">
    <w:abstractNumId w:val="2"/>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973"/>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8543B"/>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09EA"/>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105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83F86"/>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249D4"/>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5AD67F4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unhideWhenUsed="0" w:uiPriority="39" w:semiHidden="0" w:name="toc 1"/>
    <w:lsdException w:qFormat="1" w:unhideWhenUsed="0" w:uiPriority="39" w:semiHidden="0" w:name="toc 2"/>
    <w:lsdException w:qFormat="1" w:unhideWhenUsed="0" w:uiPriority="39" w:semiHidden="0" w:name="toc 3"/>
    <w:lsdException w:unhideWhenUsed="0" w:uiPriority="39" w:semiHidden="0" w:name="toc 4"/>
    <w:lsdException w:qFormat="1" w:unhideWhenUsed="0" w:uiPriority="39" w:semiHidden="0" w:name="toc 5"/>
    <w:lsdException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uiPriority="39" w:semiHidden="0" w:name="toa heading"/>
    <w:lsdException w:qFormat="1" w:uiPriority="99" w:name="List"/>
    <w:lsdException w:qFormat="1" w:unhideWhenUsed="0" w:uiPriority="1" w:semiHidden="0" w:name="List Bullet"/>
    <w:lsdException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uiPriority="99" w:name="List Continue 2"/>
    <w:lsdException w:qFormat="1" w:uiPriority="99" w:name="List Continue 3"/>
    <w:lsdException w:qFormat="1" w:uiPriority="99" w:name="List Continue 4"/>
    <w:lsdException w:qFormat="1" w:uiPriority="99" w:name="List Continue 5"/>
    <w:lsdException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uiPriority="99" w:name="HTML Keyboard"/>
    <w:lsdException w:qFormat="1" w:uiPriority="99" w:name="HTML Preformatted"/>
    <w:lsdException w:qFormat="1" w:uiPriority="99" w:name="HTML Sample"/>
    <w:lsdException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uiPriority="99" w:name="Table Simple 2"/>
    <w:lsdException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uiPriority="99" w:name="Table Colorful 1"/>
    <w:lsdException w:uiPriority="99" w:name="Table Colorful 2"/>
    <w:lsdException w:qFormat="1" w:uiPriority="99" w:name="Table Colorful 3"/>
    <w:lsdException w:uiPriority="99" w:name="Table Columns 1"/>
    <w:lsdException w:uiPriority="99" w:name="Table Columns 2"/>
    <w:lsdException w:qFormat="1" w:uiPriority="99" w:name="Table Columns 3"/>
    <w:lsdException w:qFormat="1" w:uiPriority="99" w:name="Table Columns 4"/>
    <w:lsdException w:qFormat="1" w:uiPriority="99" w:name="Table Columns 5"/>
    <w:lsdException w:uiPriority="99" w:name="Table Grid 1"/>
    <w:lsdException w:uiPriority="99" w:name="Table Grid 2"/>
    <w:lsdException w:uiPriority="99" w:name="Table Grid 3"/>
    <w:lsdException w:qFormat="1" w:uiPriority="99" w:name="Table Grid 4"/>
    <w:lsdException w:uiPriority="99" w:name="Table Grid 5"/>
    <w:lsdException w:qFormat="1" w:uiPriority="99" w:name="Table Grid 6"/>
    <w:lsdException w:qFormat="1" w:uiPriority="99" w:name="Table Grid 7"/>
    <w:lsdException w:uiPriority="99" w:name="Table Grid 8"/>
    <w:lsdException w:qFormat="1" w:uiPriority="99" w:name="Table List 1"/>
    <w:lsdException w:uiPriority="99" w:name="Table List 2"/>
    <w:lsdException w:uiPriority="99" w:name="Table List 3"/>
    <w:lsdException w:uiPriority="99" w:name="Table List 4"/>
    <w:lsdException w:uiPriority="99" w:name="Table List 5"/>
    <w:lsdException w:uiPriority="99" w:name="Table List 6"/>
    <w:lsdException w:qFormat="1" w:uiPriority="99" w:name="Table List 7"/>
    <w:lsdException w:qFormat="1" w:uiPriority="99" w:name="Table List 8"/>
    <w:lsdException w:uiPriority="99" w:name="Table 3D effects 1"/>
    <w:lsdException w:qFormat="1" w:uiPriority="99" w:name="Table 3D effects 2"/>
    <w:lsdException w:uiPriority="99" w:name="Table 3D effects 3"/>
    <w:lsdException w:qFormat="1" w:uiPriority="99" w:name="Table Contemporary"/>
    <w:lsdException w:qFormat="1" w:uiPriority="99" w:name="Table Elegant"/>
    <w:lsdException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uiPriority="99" w:name="Table Web 3"/>
    <w:lsdException w:qFormat="1" w:uiPriority="99" w:name="Balloon Text"/>
    <w:lsdException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unhideWhenUsed="0" w:uiPriority="63" w:semiHidden="0" w:name="Medium Shading 1"/>
    <w:lsdException w:qFormat="1" w:unhideWhenUsed="0" w:uiPriority="64" w:semiHidden="0" w:name="Medium Shading 2"/>
    <w:lsdException w:unhideWhenUsed="0" w:uiPriority="65" w:semiHidden="0" w:name="Medium List 1"/>
    <w:lsdException w:qFormat="1" w:unhideWhenUsed="0" w:uiPriority="66" w:semiHidden="0" w:name="Medium List 2"/>
    <w:lsdException w:qFormat="1"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qFormat="1" w:unhideWhenUsed="0" w:uiPriority="71" w:semiHidden="0" w:name="Colorful Shading"/>
    <w:lsdException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unhideWhenUsed="0" w:uiPriority="62" w:semiHidden="0" w:name="Light Grid Accent 1"/>
    <w:lsdException w:qFormat="1"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67" w:semiHidden="0" w:name="Medium Grid 1 Accent 2"/>
    <w:lsdException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unhideWhenUsed="0" w:uiPriority="71" w:semiHidden="0" w:name="Colorful Shading Accent 5"/>
    <w:lsdException w:unhideWhenUsed="0" w:uiPriority="72" w:semiHidden="0" w:name="Colorful List Accent 5"/>
    <w:lsdException w:qFormat="1" w:unhideWhenUsed="0" w:uiPriority="73" w:semiHidden="0" w:name="Colorful Grid Accent 5"/>
    <w:lsdException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uiPriority w:val="2"/>
    <w:rPr>
      <w:rFonts w:ascii="Verdana" w:hAnsi="Verdana" w:eastAsia="Times New Roman"/>
      <w:b/>
      <w:iCs/>
      <w:color w:val="006283"/>
      <w:sz w:val="18"/>
      <w:u w:val="single"/>
      <w:lang w:val="en-GB"/>
    </w:rPr>
  </w:style>
  <w:style w:type="character" w:customStyle="1" w:styleId="258">
    <w:name w:val="Title Char"/>
    <w:link w:val="84"/>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8237E-CFB6-4B69-91E5-4BFBBAAE09F9}">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Pages>2</Pages>
  <Words>330</Words>
  <Characters>1973</Characters>
  <Lines>63</Lines>
  <Paragraphs>50</Paragraphs>
  <TotalTime>0</TotalTime>
  <ScaleCrop>false</ScaleCrop>
  <LinksUpToDate>false</LinksUpToDate>
  <CharactersWithSpaces>2260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2025-02-27T11:17:00Z</dcterms:created>
  <dc:description>LDIMD - DTU</dc:description>
  <dcterms:modified xsi:type="dcterms:W3CDTF">2025-07-12T04:06:54Z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40EAD29C3A4E4DB9A648F47A5AC3095A_12</vt:lpwstr>
  </property>
</Properties>
</file>