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7D78E">
      <w:pPr>
        <w:pStyle w:val="84"/>
        <w:rPr>
          <w:caps w:val="0"/>
          <w:kern w:val="0"/>
        </w:rPr>
      </w:pPr>
      <w:r>
        <w:rPr>
          <w:caps w:val="0"/>
          <w:kern w:val="0"/>
        </w:rPr>
        <w:t>NOTIFICATION</w:t>
      </w:r>
    </w:p>
    <w:p w14:paraId="0E354173">
      <w:pPr>
        <w:jc w:val="center"/>
      </w:pPr>
      <w:r>
        <w:t>The following notification is being circulated in accordance with Article 10.6</w:t>
      </w:r>
    </w:p>
    <w:p w14:paraId="2C1C8A9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EDE74C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DFE2E21">
            <w:pPr>
              <w:spacing w:before="120" w:after="120"/>
              <w:jc w:val="left"/>
            </w:pPr>
            <w:r>
              <w:rPr>
                <w:b/>
              </w:rPr>
              <w:t>1.</w:t>
            </w:r>
          </w:p>
        </w:tc>
        <w:tc>
          <w:tcPr>
            <w:tcW w:w="8546" w:type="dxa"/>
            <w:tcBorders>
              <w:bottom w:val="single" w:color="auto" w:sz="6" w:space="0"/>
            </w:tcBorders>
            <w:shd w:val="clear" w:color="auto" w:fill="auto"/>
          </w:tcPr>
          <w:p w14:paraId="7B3C8F50">
            <w:pPr>
              <w:spacing w:before="120" w:after="120"/>
            </w:pPr>
            <w:r>
              <w:rPr>
                <w:b/>
              </w:rPr>
              <w:t>Notifying Member:</w:t>
            </w:r>
            <w:r>
              <w:t xml:space="preserve"> </w:t>
            </w:r>
            <w:r>
              <w:rPr>
                <w:u w:val="single"/>
              </w:rPr>
              <w:t>MALAYSIA</w:t>
            </w:r>
          </w:p>
          <w:p w14:paraId="5D52DC68">
            <w:pPr>
              <w:spacing w:after="120"/>
            </w:pPr>
            <w:r>
              <w:rPr>
                <w:b/>
              </w:rPr>
              <w:t>If applicable, name of local government involved (Article 3.2 and 7.2):</w:t>
            </w:r>
            <w:r>
              <w:t xml:space="preserve"> </w:t>
            </w:r>
          </w:p>
        </w:tc>
      </w:tr>
      <w:tr w14:paraId="261D38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73388FB">
            <w:pPr>
              <w:spacing w:before="120" w:after="120"/>
              <w:jc w:val="left"/>
            </w:pPr>
            <w:r>
              <w:rPr>
                <w:b/>
              </w:rPr>
              <w:t>2.</w:t>
            </w:r>
          </w:p>
        </w:tc>
        <w:tc>
          <w:tcPr>
            <w:tcW w:w="8546" w:type="dxa"/>
            <w:tcBorders>
              <w:top w:val="single" w:color="auto" w:sz="6" w:space="0"/>
              <w:bottom w:val="single" w:color="auto" w:sz="6" w:space="0"/>
            </w:tcBorders>
            <w:shd w:val="clear" w:color="auto" w:fill="auto"/>
          </w:tcPr>
          <w:p w14:paraId="1F1ADAFB">
            <w:pPr>
              <w:spacing w:before="120" w:after="120"/>
            </w:pPr>
            <w:r>
              <w:rPr>
                <w:b/>
              </w:rPr>
              <w:t>Agency responsible:</w:t>
            </w:r>
            <w:r>
              <w:t xml:space="preserve"> </w:t>
            </w:r>
          </w:p>
          <w:p w14:paraId="3FB00EE5">
            <w:r>
              <w:t>Food Safety &amp; Quality Programme</w:t>
            </w:r>
          </w:p>
          <w:p w14:paraId="60382B73">
            <w:r>
              <w:t>Ministry of Health Malaysia</w:t>
            </w:r>
          </w:p>
          <w:p w14:paraId="65E7C6D2">
            <w:r>
              <w:t>Level 4, Menara Prisma</w:t>
            </w:r>
          </w:p>
          <w:p w14:paraId="07C363A6">
            <w:r>
              <w:t>No.26, Jalan Persiaran Perdana, Presint 3</w:t>
            </w:r>
          </w:p>
          <w:p w14:paraId="6DD2865B">
            <w:r>
              <w:t>62675 Putrajaya, Malaysia</w:t>
            </w:r>
          </w:p>
          <w:p w14:paraId="407953F5">
            <w:r>
              <w:t>Tel: +603-88850797</w:t>
            </w:r>
          </w:p>
          <w:p w14:paraId="296220DF">
            <w:pPr>
              <w:numPr>
                <w:ilvl w:val="0"/>
                <w:numId w:val="7"/>
              </w:numPr>
              <w:spacing w:after="120"/>
              <w:rPr>
                <w:color w:val="0000FF"/>
                <w:u w:val="single"/>
              </w:rPr>
            </w:pPr>
            <w:r>
              <w:t xml:space="preserve">mail: </w:t>
            </w:r>
            <w:r>
              <w:fldChar w:fldCharType="begin"/>
            </w:r>
            <w:r>
              <w:instrText xml:space="preserve"> HYPERLINK "mailto:sps.fsqd@moh.gov.my" </w:instrText>
            </w:r>
            <w:r>
              <w:fldChar w:fldCharType="separate"/>
            </w:r>
            <w:r>
              <w:rPr>
                <w:color w:val="0000FF"/>
                <w:u w:val="single"/>
              </w:rPr>
              <w:t>sps.fsqd@moh.gov.my</w:t>
            </w:r>
            <w:r>
              <w:rPr>
                <w:color w:val="0000FF"/>
                <w:u w:val="single"/>
              </w:rPr>
              <w:fldChar w:fldCharType="end"/>
            </w:r>
          </w:p>
          <w:p w14:paraId="148AA65F">
            <w:pPr>
              <w:numPr>
                <w:ilvl w:val="0"/>
                <w:numId w:val="7"/>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7D227B8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198D81">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1567710">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254A8E6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EAA8CA">
            <w:pPr>
              <w:spacing w:before="120" w:after="120"/>
              <w:jc w:val="left"/>
            </w:pPr>
            <w:r>
              <w:rPr>
                <w:b/>
              </w:rPr>
              <w:t>4.</w:t>
            </w:r>
          </w:p>
        </w:tc>
        <w:tc>
          <w:tcPr>
            <w:tcW w:w="8546" w:type="dxa"/>
            <w:tcBorders>
              <w:top w:val="single" w:color="auto" w:sz="6" w:space="0"/>
              <w:bottom w:val="single" w:color="auto" w:sz="6" w:space="0"/>
            </w:tcBorders>
            <w:shd w:val="clear" w:color="auto" w:fill="auto"/>
          </w:tcPr>
          <w:p w14:paraId="4AEA9B09">
            <w:pPr>
              <w:spacing w:before="120" w:after="120"/>
            </w:pPr>
            <w:r>
              <w:rPr>
                <w:b/>
              </w:rPr>
              <w:t>Products covered (HS or CCCN where applicable, otherwise national tariff heading. ICS numbers may be provided in addition, where applicable):</w:t>
            </w:r>
            <w:r>
              <w:t xml:space="preserve"> All food</w:t>
            </w:r>
          </w:p>
        </w:tc>
      </w:tr>
      <w:tr w14:paraId="703F076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845A8A3">
            <w:pPr>
              <w:spacing w:before="120" w:after="120"/>
              <w:jc w:val="left"/>
            </w:pPr>
            <w:r>
              <w:rPr>
                <w:b/>
              </w:rPr>
              <w:t>5.</w:t>
            </w:r>
          </w:p>
        </w:tc>
        <w:tc>
          <w:tcPr>
            <w:tcW w:w="8546" w:type="dxa"/>
            <w:tcBorders>
              <w:top w:val="single" w:color="auto" w:sz="6" w:space="0"/>
              <w:bottom w:val="single" w:color="auto" w:sz="6" w:space="0"/>
            </w:tcBorders>
            <w:shd w:val="clear" w:color="auto" w:fill="auto"/>
          </w:tcPr>
          <w:p w14:paraId="636336ED">
            <w:pPr>
              <w:spacing w:before="120" w:after="120"/>
            </w:pPr>
            <w:r>
              <w:rPr>
                <w:b/>
              </w:rPr>
              <w:t>Title, number of pages and language(s) of the notified document:</w:t>
            </w:r>
            <w:r>
              <w:t xml:space="preserve"> Amendment to the Twelfth A Schedule of the Food Regulations 1985 [</w:t>
            </w:r>
            <w:r>
              <w:rPr>
                <w:i/>
                <w:iCs/>
              </w:rPr>
              <w:t>P.U.(A) 437/1985</w:t>
            </w:r>
            <w:r>
              <w:t>].; (1 page(s), in English)</w:t>
            </w:r>
          </w:p>
        </w:tc>
      </w:tr>
      <w:tr w14:paraId="7584AE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0BC413">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D8E3771">
            <w:pPr>
              <w:spacing w:before="120" w:after="120"/>
              <w:rPr>
                <w:b/>
              </w:rPr>
            </w:pPr>
            <w:r>
              <w:rPr>
                <w:b/>
              </w:rPr>
              <w:t>Description of content:</w:t>
            </w:r>
            <w:r>
              <w:t xml:space="preserve"> The proposed amendments to the Twelfth A Schedule of the Food Regulations 1985 [</w:t>
            </w:r>
            <w:r>
              <w:rPr>
                <w:i/>
                <w:iCs/>
              </w:rPr>
              <w:t>P.U.(A) 437/1985</w:t>
            </w:r>
            <w:r>
              <w:t>] is as follow:</w:t>
            </w:r>
          </w:p>
          <w:p w14:paraId="05923D57">
            <w:pPr>
              <w:spacing w:before="120" w:after="120"/>
            </w:pPr>
            <w:r>
              <w:t xml:space="preserve">to amend the Twelfth A Schedule by inserting a new probiotic culture of </w:t>
            </w:r>
            <w:r>
              <w:rPr>
                <w:i/>
                <w:iCs/>
              </w:rPr>
              <w:t>Lactobacillus plantarum</w:t>
            </w:r>
            <w:r>
              <w:t xml:space="preserve"> TCI378 / </w:t>
            </w:r>
            <w:r>
              <w:rPr>
                <w:i/>
                <w:iCs/>
              </w:rPr>
              <w:t>Lactiplantibacillus plantarum</w:t>
            </w:r>
            <w:r>
              <w:t xml:space="preserve"> TCI378 under the group of </w:t>
            </w:r>
            <w:r>
              <w:rPr>
                <w:i/>
                <w:iCs/>
              </w:rPr>
              <w:t>Lactobacillus sp..</w:t>
            </w:r>
          </w:p>
        </w:tc>
      </w:tr>
      <w:tr w14:paraId="5B46AD7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39BF14">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B9E8450">
            <w:pPr>
              <w:spacing w:before="120" w:after="120"/>
            </w:pPr>
            <w:r>
              <w:rPr>
                <w:b/>
              </w:rPr>
              <w:t>Objective and rationale, including the nature of urgent problems where applicable:</w:t>
            </w:r>
            <w:r>
              <w:t xml:space="preserve"> Consumer information, labelling; Protection of human health or safety</w:t>
            </w:r>
          </w:p>
        </w:tc>
      </w:tr>
      <w:tr w14:paraId="45ECBA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179246A">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F76D836">
            <w:pPr>
              <w:spacing w:before="120" w:after="120"/>
              <w:rPr>
                <w:bCs/>
              </w:rPr>
            </w:pPr>
            <w:r>
              <w:rPr>
                <w:b/>
              </w:rPr>
              <w:t>Relevant documents:</w:t>
            </w:r>
            <w:r>
              <w:t xml:space="preserve"> </w:t>
            </w:r>
          </w:p>
          <w:p w14:paraId="4E01555F">
            <w:pPr>
              <w:numPr>
                <w:ilvl w:val="0"/>
                <w:numId w:val="8"/>
              </w:numPr>
              <w:spacing w:before="120" w:after="120"/>
            </w:pPr>
            <w:r>
              <w:t>Food Act 1983 [</w:t>
            </w:r>
            <w:r>
              <w:rPr>
                <w:i/>
                <w:iCs/>
              </w:rPr>
              <w:t>Act 281</w:t>
            </w:r>
            <w:r>
              <w:t>]</w:t>
            </w:r>
          </w:p>
          <w:p w14:paraId="2057A6BF">
            <w:pPr>
              <w:numPr>
                <w:ilvl w:val="0"/>
                <w:numId w:val="8"/>
              </w:numPr>
              <w:spacing w:before="120" w:after="120"/>
            </w:pPr>
            <w:r>
              <w:t>Food Regulations 1985 [</w:t>
            </w:r>
            <w:r>
              <w:rPr>
                <w:i/>
                <w:iCs/>
              </w:rPr>
              <w:t>P.U.(A) 437/1985</w:t>
            </w:r>
            <w:r>
              <w:t>]</w:t>
            </w:r>
          </w:p>
        </w:tc>
      </w:tr>
      <w:tr w14:paraId="2076A7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25C64BEC">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35B583A">
            <w:pPr>
              <w:spacing w:before="120" w:after="120"/>
            </w:pPr>
            <w:r>
              <w:rPr>
                <w:b/>
              </w:rPr>
              <w:t>Proposed date of adoption:</w:t>
            </w:r>
            <w:r>
              <w:t xml:space="preserve"> To be determined</w:t>
            </w:r>
          </w:p>
          <w:p w14:paraId="22548B74">
            <w:pPr>
              <w:spacing w:after="120"/>
            </w:pPr>
            <w:r>
              <w:rPr>
                <w:b/>
              </w:rPr>
              <w:t>Proposed date of entry into force:</w:t>
            </w:r>
            <w:r>
              <w:t xml:space="preserve"> To be determined</w:t>
            </w:r>
          </w:p>
        </w:tc>
      </w:tr>
      <w:tr w14:paraId="453ED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07825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724C3C8">
            <w:pPr>
              <w:spacing w:before="120" w:after="120"/>
              <w:rPr>
                <w:rFonts w:hint="eastAsia" w:eastAsia="宋体"/>
                <w:lang w:val="en-US" w:eastAsia="zh-CN"/>
              </w:rPr>
            </w:pPr>
            <w:r>
              <w:rPr>
                <w:b/>
              </w:rPr>
              <w:t>Final date for comments:</w:t>
            </w:r>
            <w:r>
              <w:t xml:space="preserve"> 9 September 2025</w:t>
            </w:r>
            <w:r>
              <w:rPr>
                <w:rFonts w:hint="eastAsia" w:eastAsia="宋体"/>
                <w:lang w:val="en-US" w:eastAsia="zh-CN"/>
              </w:rPr>
              <w:t>,</w:t>
            </w:r>
          </w:p>
          <w:p w14:paraId="52208944">
            <w:pPr>
              <w:spacing w:before="120" w:after="120"/>
              <w:rPr>
                <w:rFonts w:hint="eastAsia" w:eastAsia="宋体"/>
                <w:b/>
                <w:bCs/>
                <w:lang w:val="en-US" w:eastAsia="zh-CN"/>
              </w:rPr>
            </w:pPr>
            <w:r>
              <w:rPr>
                <w:b/>
                <w:bCs/>
              </w:rPr>
              <w:t>[X] 60 days from notification</w:t>
            </w:r>
            <w:r>
              <w:rPr>
                <w:rFonts w:hint="eastAsia" w:eastAsia="宋体"/>
                <w:b/>
                <w:bCs/>
                <w:lang w:val="en-US" w:eastAsia="zh-CN"/>
              </w:rPr>
              <w:t xml:space="preserve">  </w:t>
            </w:r>
          </w:p>
          <w:p w14:paraId="7D6D6D24">
            <w:pPr>
              <w:spacing w:before="120" w:after="120"/>
            </w:pPr>
            <w:r>
              <w:rPr>
                <w:b/>
                <w:bCs/>
              </w:rPr>
              <w:t>Contact details of agency or authority designated to handle comments regarding the notification:</w:t>
            </w:r>
            <w:r>
              <w:t xml:space="preserve"> </w:t>
            </w:r>
          </w:p>
          <w:p w14:paraId="6A00F5BD">
            <w:r>
              <w:t>Food Safety &amp; Quality Programme</w:t>
            </w:r>
          </w:p>
          <w:p w14:paraId="41E030A5">
            <w:r>
              <w:t>Ministry of Health Malaysia</w:t>
            </w:r>
          </w:p>
          <w:p w14:paraId="50B713BD">
            <w:r>
              <w:t>Level 4, Menara Prisma</w:t>
            </w:r>
          </w:p>
          <w:p w14:paraId="1A7D25C9">
            <w:r>
              <w:t>No.26, Jalan Persiaran Perdana, Presint 3</w:t>
            </w:r>
          </w:p>
          <w:p w14:paraId="4E1F479E">
            <w:r>
              <w:t>62675 Putrajaya, Malaysia</w:t>
            </w:r>
          </w:p>
          <w:p w14:paraId="210B49B3">
            <w:r>
              <w:t>Tel: +603-88850797</w:t>
            </w:r>
          </w:p>
          <w:p w14:paraId="36BABDF8">
            <w:pPr>
              <w:spacing w:before="120" w:after="120"/>
              <w:rPr>
                <w:rFonts w:hint="default" w:eastAsia="宋体"/>
                <w:b/>
                <w:bCs/>
                <w:lang w:val="en-US" w:eastAsia="zh-CN"/>
              </w:rPr>
            </w:pPr>
            <w:r>
              <w:t xml:space="preserve">E-mail: </w:t>
            </w:r>
            <w:r>
              <w:fldChar w:fldCharType="begin"/>
            </w:r>
            <w:r>
              <w:instrText xml:space="preserve"> HYPERLINK "mailto:sps.fsqd@moh.gov.my" </w:instrText>
            </w:r>
            <w:r>
              <w:fldChar w:fldCharType="separate"/>
            </w:r>
            <w:r>
              <w:rPr>
                <w:color w:val="0000FF"/>
                <w:u w:val="single"/>
              </w:rPr>
              <w:t>sps.fsqd@moh.gov.my</w:t>
            </w:r>
            <w:r>
              <w:rPr>
                <w:color w:val="0000FF"/>
                <w:u w:val="single"/>
              </w:rPr>
              <w:fldChar w:fldCharType="end"/>
            </w:r>
            <w:bookmarkStart w:id="11" w:name="_GoBack"/>
            <w:bookmarkEnd w:id="11"/>
          </w:p>
        </w:tc>
      </w:tr>
      <w:tr w14:paraId="39A2ECE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6A4250D">
            <w:pPr>
              <w:keepNext/>
              <w:keepLines/>
              <w:spacing w:before="120" w:after="120"/>
              <w:jc w:val="left"/>
              <w:rPr>
                <w:b/>
              </w:rPr>
            </w:pPr>
            <w:r>
              <w:rPr>
                <w:b/>
              </w:rPr>
              <w:t>11.</w:t>
            </w:r>
          </w:p>
        </w:tc>
        <w:tc>
          <w:tcPr>
            <w:tcW w:w="8546" w:type="dxa"/>
            <w:tcBorders>
              <w:top w:val="single" w:color="auto" w:sz="6" w:space="0"/>
            </w:tcBorders>
            <w:shd w:val="clear" w:color="auto" w:fill="auto"/>
          </w:tcPr>
          <w:p w14:paraId="322E2AE8">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05F4CAA3">
            <w:pPr>
              <w:rPr>
                <w:iCs/>
              </w:rPr>
            </w:pPr>
            <w:r>
              <w:rPr>
                <w:iCs/>
              </w:rPr>
              <w:t>Food Safety &amp; Quality Programme</w:t>
            </w:r>
          </w:p>
          <w:p w14:paraId="1B0E7F19">
            <w:pPr>
              <w:rPr>
                <w:iCs/>
              </w:rPr>
            </w:pPr>
            <w:r>
              <w:rPr>
                <w:iCs/>
              </w:rPr>
              <w:t>Ministry of Health Malaysia</w:t>
            </w:r>
          </w:p>
          <w:p w14:paraId="162E982F">
            <w:pPr>
              <w:rPr>
                <w:iCs/>
              </w:rPr>
            </w:pPr>
            <w:r>
              <w:rPr>
                <w:iCs/>
              </w:rPr>
              <w:t>Level 4, Menara Prisma</w:t>
            </w:r>
          </w:p>
          <w:p w14:paraId="1490FC19">
            <w:pPr>
              <w:rPr>
                <w:iCs/>
              </w:rPr>
            </w:pPr>
            <w:r>
              <w:rPr>
                <w:iCs/>
              </w:rPr>
              <w:t>No.26, Jalan Persiaran Perdana, Presint 3</w:t>
            </w:r>
          </w:p>
          <w:p w14:paraId="19240754">
            <w:pPr>
              <w:rPr>
                <w:iCs/>
              </w:rPr>
            </w:pPr>
            <w:r>
              <w:rPr>
                <w:iCs/>
              </w:rPr>
              <w:t>62675 Putrajaya, Malaysia</w:t>
            </w:r>
          </w:p>
          <w:p w14:paraId="1639D67E">
            <w:pPr>
              <w:rPr>
                <w:iCs/>
              </w:rPr>
            </w:pPr>
            <w:r>
              <w:rPr>
                <w:iCs/>
              </w:rPr>
              <w:t>Tel: +603-88850797</w:t>
            </w:r>
          </w:p>
          <w:p w14:paraId="1CF2C529">
            <w:pPr>
              <w:keepNext/>
              <w:keepLines/>
              <w:pBdr>
                <w:top w:val="none" w:color="auto" w:sz="0" w:space="4"/>
              </w:pBdr>
              <w:spacing w:after="120"/>
              <w:rPr>
                <w:bCs/>
              </w:rPr>
            </w:pPr>
            <w:r>
              <w:rPr>
                <w:iCs/>
              </w:rPr>
              <w:t xml:space="preserve">E-mail: </w:t>
            </w:r>
            <w:r>
              <w:fldChar w:fldCharType="begin"/>
            </w:r>
            <w:r>
              <w:instrText xml:space="preserve"> HYPERLINK "mailto:sps.fsqd@moh.gov.my" </w:instrText>
            </w:r>
            <w:r>
              <w:fldChar w:fldCharType="separate"/>
            </w:r>
            <w:r>
              <w:rPr>
                <w:iCs/>
                <w:color w:val="0000FF"/>
                <w:u w:val="single"/>
              </w:rPr>
              <w:t>sps.fsqd@moh.gov.my</w:t>
            </w:r>
            <w:r>
              <w:rPr>
                <w:iCs/>
                <w:color w:val="0000FF"/>
                <w:u w:val="single"/>
              </w:rPr>
              <w:fldChar w:fldCharType="end"/>
            </w:r>
          </w:p>
        </w:tc>
      </w:tr>
    </w:tbl>
    <w:p w14:paraId="3A68066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AF963">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31039">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2B402">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5CE9B">
    <w:pPr>
      <w:pStyle w:val="58"/>
      <w:pBdr>
        <w:bottom w:val="single" w:color="auto" w:sz="4" w:space="1"/>
      </w:pBdr>
      <w:tabs>
        <w:tab w:val="clear" w:pos="4513"/>
        <w:tab w:val="clear" w:pos="9027"/>
      </w:tabs>
      <w:jc w:val="center"/>
    </w:pPr>
    <w:bookmarkStart w:id="0" w:name="spsSymbolHeader"/>
    <w:r>
      <w:t>G/TBT/N/MYS/124</w:t>
    </w:r>
    <w:bookmarkEnd w:id="0"/>
  </w:p>
  <w:p w14:paraId="03F40307">
    <w:pPr>
      <w:pStyle w:val="58"/>
      <w:pBdr>
        <w:bottom w:val="single" w:color="auto" w:sz="4" w:space="1"/>
      </w:pBdr>
      <w:tabs>
        <w:tab w:val="clear" w:pos="4513"/>
        <w:tab w:val="clear" w:pos="9027"/>
      </w:tabs>
      <w:jc w:val="center"/>
    </w:pPr>
  </w:p>
  <w:p w14:paraId="4324DA8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7E0C66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FFAC">
    <w:pPr>
      <w:pStyle w:val="58"/>
      <w:pBdr>
        <w:bottom w:val="single" w:color="auto" w:sz="4" w:space="1"/>
      </w:pBdr>
      <w:tabs>
        <w:tab w:val="clear" w:pos="4513"/>
        <w:tab w:val="clear" w:pos="9027"/>
      </w:tabs>
      <w:jc w:val="center"/>
    </w:pPr>
    <w:r>
      <w:t>tbtSymbol</w:t>
    </w:r>
  </w:p>
  <w:p w14:paraId="23CF3B3C">
    <w:pPr>
      <w:pStyle w:val="58"/>
      <w:pBdr>
        <w:bottom w:val="single" w:color="auto" w:sz="4" w:space="1"/>
      </w:pBdr>
      <w:tabs>
        <w:tab w:val="clear" w:pos="4513"/>
        <w:tab w:val="clear" w:pos="9027"/>
      </w:tabs>
      <w:jc w:val="center"/>
    </w:pPr>
  </w:p>
  <w:p w14:paraId="602026C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C7D03D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75C6313">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E3DEEFC">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1906078D">
          <w:pPr>
            <w:jc w:val="right"/>
            <w:rPr>
              <w:b/>
              <w:color w:val="FF0000"/>
              <w:szCs w:val="16"/>
            </w:rPr>
          </w:pPr>
        </w:p>
      </w:tc>
    </w:tr>
    <w:bookmarkEnd w:id="1"/>
    <w:tr w14:paraId="4EB20B3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E5181E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F07480">
          <w:pPr>
            <w:jc w:val="right"/>
            <w:rPr>
              <w:b/>
              <w:szCs w:val="16"/>
            </w:rPr>
          </w:pPr>
        </w:p>
      </w:tc>
    </w:tr>
    <w:tr w14:paraId="003E97A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F655071">
          <w:pPr>
            <w:jc w:val="left"/>
            <w:rPr>
              <w:lang w:eastAsia="en-GB"/>
            </w:rPr>
          </w:pPr>
        </w:p>
      </w:tc>
      <w:tc>
        <w:tcPr>
          <w:tcW w:w="5448" w:type="dxa"/>
          <w:gridSpan w:val="2"/>
          <w:shd w:val="clear" w:color="auto" w:fill="FFFFFF"/>
          <w:tcMar>
            <w:left w:w="108" w:type="dxa"/>
            <w:right w:w="108" w:type="dxa"/>
          </w:tcMar>
        </w:tcPr>
        <w:p w14:paraId="0CCBC483">
          <w:pPr>
            <w:jc w:val="right"/>
            <w:rPr>
              <w:rFonts w:hint="eastAsia" w:eastAsia="宋体"/>
              <w:b/>
              <w:szCs w:val="16"/>
              <w:lang w:eastAsia="zh-CN"/>
            </w:rPr>
          </w:pPr>
          <w:bookmarkStart w:id="2" w:name="bmkSymbols"/>
          <w:r>
            <w:rPr>
              <w:b/>
              <w:szCs w:val="16"/>
            </w:rPr>
            <w:t>G/TBT/N/MYS/12</w:t>
          </w:r>
          <w:bookmarkEnd w:id="2"/>
          <w:r>
            <w:rPr>
              <w:rFonts w:hint="eastAsia" w:eastAsia="宋体"/>
              <w:b/>
              <w:szCs w:val="16"/>
              <w:lang w:val="en-US" w:eastAsia="zh-CN"/>
            </w:rPr>
            <w:t>5</w:t>
          </w:r>
        </w:p>
      </w:tc>
    </w:tr>
    <w:tr w14:paraId="7A9F56DB">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C4DA9A0"/>
      </w:tc>
      <w:tc>
        <w:tcPr>
          <w:tcW w:w="5448" w:type="dxa"/>
          <w:gridSpan w:val="2"/>
          <w:shd w:val="clear" w:color="auto" w:fill="FFFFFF"/>
          <w:tcMar>
            <w:left w:w="108" w:type="dxa"/>
            <w:right w:w="108" w:type="dxa"/>
          </w:tcMar>
          <w:vAlign w:val="center"/>
        </w:tcPr>
        <w:p w14:paraId="4A7160E7">
          <w:pPr>
            <w:jc w:val="right"/>
            <w:rPr>
              <w:szCs w:val="16"/>
            </w:rPr>
          </w:pPr>
          <w:bookmarkStart w:id="3" w:name="bmkDate"/>
          <w:bookmarkEnd w:id="3"/>
          <w:bookmarkStart w:id="4" w:name="spsDateDistribution"/>
          <w:bookmarkEnd w:id="4"/>
          <w:r>
            <w:rPr>
              <w:szCs w:val="16"/>
            </w:rPr>
            <w:t>11 July 2025</w:t>
          </w:r>
        </w:p>
      </w:tc>
    </w:tr>
    <w:tr w14:paraId="7D317FB2">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DD400B3">
          <w:pPr>
            <w:jc w:val="left"/>
            <w:rPr>
              <w:b/>
            </w:rPr>
          </w:pPr>
          <w:bookmarkStart w:id="5" w:name="bmkSerial"/>
          <w:r>
            <w:rPr>
              <w:color w:val="FF0000"/>
              <w:szCs w:val="16"/>
            </w:rPr>
            <w:t>(</w:t>
          </w:r>
          <w:bookmarkStart w:id="6" w:name="spsSerialNumber"/>
          <w:bookmarkEnd w:id="6"/>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4490</w:t>
          </w:r>
          <w:r>
            <w:rPr>
              <w:color w:val="FF0000"/>
              <w:szCs w:val="16"/>
            </w:rPr>
            <w:t>)</w:t>
          </w:r>
          <w:bookmarkEnd w:id="5"/>
        </w:p>
      </w:tc>
      <w:tc>
        <w:tcPr>
          <w:tcW w:w="3325" w:type="dxa"/>
          <w:tcBorders>
            <w:bottom w:val="single" w:color="auto" w:sz="4" w:space="0"/>
          </w:tcBorders>
          <w:tcMar>
            <w:top w:w="0" w:type="dxa"/>
            <w:left w:w="108" w:type="dxa"/>
            <w:bottom w:w="57" w:type="dxa"/>
            <w:right w:w="108" w:type="dxa"/>
          </w:tcMar>
          <w:vAlign w:val="bottom"/>
        </w:tcPr>
        <w:p w14:paraId="592BB7A8">
          <w:pPr>
            <w:jc w:val="right"/>
            <w:rPr>
              <w:szCs w:val="16"/>
            </w:rPr>
          </w:pPr>
          <w:bookmarkStart w:id="7"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7"/>
        </w:p>
      </w:tc>
    </w:tr>
    <w:tr w14:paraId="14C5C706">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EFCBD6E">
          <w:pPr>
            <w:jc w:val="left"/>
            <w:rPr>
              <w:sz w:val="14"/>
              <w:szCs w:val="16"/>
            </w:rPr>
          </w:pPr>
          <w:bookmarkStart w:id="8" w:name="bmkCommittee"/>
          <w:r>
            <w:rPr>
              <w:b/>
            </w:rPr>
            <w:t>Committee on Technical Barriers to Trade</w:t>
          </w:r>
          <w:bookmarkEnd w:id="8"/>
        </w:p>
      </w:tc>
      <w:tc>
        <w:tcPr>
          <w:tcW w:w="3325" w:type="dxa"/>
          <w:tcBorders>
            <w:top w:val="single" w:color="auto" w:sz="4" w:space="0"/>
          </w:tcBorders>
          <w:tcMar>
            <w:top w:w="113" w:type="dxa"/>
            <w:left w:w="108" w:type="dxa"/>
            <w:bottom w:w="57" w:type="dxa"/>
            <w:right w:w="108" w:type="dxa"/>
          </w:tcMar>
          <w:vAlign w:val="center"/>
        </w:tcPr>
        <w:p w14:paraId="70FC2935">
          <w:pPr>
            <w:jc w:val="right"/>
            <w:rPr>
              <w:bCs/>
              <w:szCs w:val="18"/>
            </w:rPr>
          </w:pPr>
          <w:bookmarkStart w:id="9" w:name="bmkLanguage"/>
          <w:r>
            <w:rPr>
              <w:bCs/>
              <w:szCs w:val="18"/>
            </w:rPr>
            <w:t xml:space="preserve">Original: </w:t>
          </w:r>
          <w:bookmarkStart w:id="10" w:name="spsOriginalLanguage"/>
          <w:r>
            <w:rPr>
              <w:bCs/>
              <w:szCs w:val="18"/>
            </w:rPr>
            <w:t>English</w:t>
          </w:r>
          <w:bookmarkEnd w:id="9"/>
          <w:bookmarkEnd w:id="10"/>
        </w:p>
      </w:tc>
    </w:tr>
  </w:tbl>
  <w:p w14:paraId="0270F2E5">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59E72336"/>
    <w:multiLevelType w:val="singleLevel"/>
    <w:tmpl w:val="59E72336"/>
    <w:lvl w:ilvl="0" w:tentative="0">
      <w:start w:val="5"/>
      <w:numFmt w:val="upperLetter"/>
      <w:suff w:val="nothing"/>
      <w:lvlText w:val="%1-"/>
      <w:lvlJc w:val="left"/>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04DB"/>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16866"/>
    <w:rsid w:val="004423A4"/>
    <w:rsid w:val="00467032"/>
    <w:rsid w:val="0046754A"/>
    <w:rsid w:val="00473B57"/>
    <w:rsid w:val="0048173D"/>
    <w:rsid w:val="004A23F8"/>
    <w:rsid w:val="004C27A4"/>
    <w:rsid w:val="004E51B2"/>
    <w:rsid w:val="004F203A"/>
    <w:rsid w:val="005104AF"/>
    <w:rsid w:val="005111D1"/>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2CCF"/>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71A71"/>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61344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qFormat="1"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qFormat="1"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qFormat="1"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F23B493-9FD9-4119-8687-E11F5B63462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509</Words>
  <Characters>3223</Characters>
  <Lines>28</Lines>
  <Paragraphs>8</Paragraphs>
  <TotalTime>0</TotalTime>
  <ScaleCrop>false</ScaleCrop>
  <LinksUpToDate>false</LinksUpToDate>
  <CharactersWithSpaces>3687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2024-08-28T09:08:00Z</dcterms:created>
  <dc:description>LDIMD - DTU</dc:description>
  <dcterms:modified xsi:type="dcterms:W3CDTF">2025-07-12T03:56:05Z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6AB7FE6266D940B9A6399F9BD158064C_12</vt:lpwstr>
  </property>
</Properties>
</file>