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ilvl w:val="0"/>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[X],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Paper products (ICS code(s): 85.080)</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456F530F">
            <w:pPr>
              <w:spacing w:before="120" w:after="120"/>
            </w:pPr>
            <w:r>
              <w:rPr>
                <w:b/>
              </w:rPr>
              <w:t>Title, number of pages and language(s) of the notified document:</w:t>
            </w:r>
            <w:r>
              <w:t xml:space="preserve"> DKS 2893: 2024 : Machine glazed Kraft paper for food packaging — Specification; (10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BB1AFE9">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38EA79DB">
            <w:pPr>
              <w:spacing w:before="120" w:after="120"/>
              <w:rPr>
                <w:b/>
              </w:rPr>
            </w:pPr>
            <w:r>
              <w:rPr>
                <w:b/>
              </w:rPr>
              <w:t>Description of content:</w:t>
            </w:r>
            <w:r>
              <w:t xml:space="preserve"> This Kenya Standard specifies the requirements, sampling and test methods for machine glazed Kraft paper for food packaging such as bread bags, grocery bags, wrappings and laminates.</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BBA5779">
            <w:pPr>
              <w:spacing w:before="120" w:after="120"/>
              <w:rPr>
                <w:b/>
              </w:rPr>
            </w:pPr>
            <w:r>
              <w:rPr>
                <w:b/>
              </w:rPr>
              <w:t>Objective and rationale, including the nature of urgent problems where applicable:</w:t>
            </w:r>
            <w:r>
              <w:t xml:space="preserve"> Consumer information, labelling; Quality requirements;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05D1498">
            <w:pPr>
              <w:spacing w:before="120" w:after="120"/>
              <w:jc w:val="left"/>
              <w:rPr>
                <w:b/>
              </w:rPr>
            </w:pPr>
            <w:bookmarkStart w:id="10" w:name="_GoBack" w:colFirst="0" w:colLast="1"/>
            <w:r>
              <w:rPr>
                <w:b/>
              </w:rPr>
              <w:t>8.</w:t>
            </w:r>
          </w:p>
        </w:tc>
        <w:tc>
          <w:tcPr>
            <w:tcW w:w="8546" w:type="dxa"/>
            <w:tcBorders>
              <w:top w:val="single" w:color="auto" w:sz="6" w:space="0"/>
              <w:bottom w:val="single" w:color="auto" w:sz="6" w:space="0"/>
            </w:tcBorders>
            <w:shd w:val="clear" w:color="auto" w:fill="auto"/>
            <w:vAlign w:val="top"/>
          </w:tcPr>
          <w:p w14:paraId="009DE077">
            <w:pPr>
              <w:spacing w:before="120" w:after="120"/>
              <w:rPr>
                <w:bCs/>
              </w:rPr>
            </w:pPr>
            <w:r>
              <w:rPr>
                <w:b/>
              </w:rPr>
              <w:t>Relevant documents:</w:t>
            </w:r>
            <w:r>
              <w:t xml:space="preserve"> </w:t>
            </w:r>
          </w:p>
          <w:p w14:paraId="66019E79">
            <w:pPr>
              <w:numPr>
                <w:ilvl w:val="0"/>
                <w:numId w:val="8"/>
              </w:numPr>
              <w:spacing w:before="120" w:after="120"/>
            </w:pPr>
            <w:r>
              <w:t>KS EAS 880, Waxed paper for packaging of confectionery — Specification</w:t>
            </w:r>
          </w:p>
          <w:p w14:paraId="5C2B0063">
            <w:pPr>
              <w:numPr>
                <w:ilvl w:val="0"/>
                <w:numId w:val="8"/>
              </w:numPr>
              <w:spacing w:before="120" w:after="120"/>
            </w:pPr>
            <w:r>
              <w:t>KS EAS 933, Paper and board intended to come into contact with foodstuffs — Determination of formaldehyde in an aqueous extract</w:t>
            </w:r>
          </w:p>
          <w:p w14:paraId="15B0C9D4">
            <w:pPr>
              <w:numPr>
                <w:ilvl w:val="0"/>
                <w:numId w:val="8"/>
              </w:numPr>
              <w:spacing w:before="120" w:after="120"/>
            </w:pPr>
            <w:r>
              <w:t>KS ISO 186, Paper and board — Sampling to determine average quality</w:t>
            </w:r>
          </w:p>
          <w:p w14:paraId="05F108C9">
            <w:pPr>
              <w:numPr>
                <w:ilvl w:val="0"/>
                <w:numId w:val="8"/>
              </w:numPr>
              <w:spacing w:before="120" w:after="120"/>
            </w:pPr>
            <w:r>
              <w:t>KS ISO 216, Writing paper and certain classes of printed matter — Trimmed sizes — A and B series, and indication of machine direction</w:t>
            </w:r>
          </w:p>
          <w:p w14:paraId="782B81A8">
            <w:pPr>
              <w:numPr>
                <w:ilvl w:val="0"/>
                <w:numId w:val="8"/>
              </w:numPr>
              <w:spacing w:before="120" w:after="120"/>
            </w:pPr>
            <w:r>
              <w:t>KS ISO 287, Paper and board — Determination of moisture content of a lot — Oven-drying method</w:t>
            </w:r>
          </w:p>
          <w:p w14:paraId="769735D7">
            <w:pPr>
              <w:numPr>
                <w:ilvl w:val="0"/>
                <w:numId w:val="8"/>
              </w:numPr>
              <w:spacing w:before="120" w:after="120"/>
            </w:pPr>
            <w:r>
              <w:t>KS ISO 536, Paper and board — Determination of grammage</w:t>
            </w:r>
          </w:p>
          <w:p w14:paraId="296AC57E">
            <w:pPr>
              <w:numPr>
                <w:ilvl w:val="0"/>
                <w:numId w:val="8"/>
              </w:numPr>
              <w:spacing w:before="120" w:after="120"/>
            </w:pPr>
            <w:r>
              <w:t>KS ISO 1924-2, Paper and board — Determination of tensile properties — Part 2: Constant rate of elongation method (20 mm/min)</w:t>
            </w:r>
          </w:p>
          <w:p w14:paraId="002C87FD">
            <w:pPr>
              <w:numPr>
                <w:ilvl w:val="0"/>
                <w:numId w:val="8"/>
              </w:numPr>
              <w:spacing w:before="120" w:after="120"/>
            </w:pPr>
            <w:r>
              <w:t>KS ISO 1924-3, Paper and board — Determination of tensile properties — Part 3: Constant rate of elongation method (100 mm/min)</w:t>
            </w:r>
          </w:p>
          <w:p w14:paraId="71530D73">
            <w:pPr>
              <w:numPr>
                <w:ilvl w:val="0"/>
                <w:numId w:val="8"/>
              </w:numPr>
              <w:spacing w:before="120" w:after="120"/>
            </w:pPr>
            <w:r>
              <w:t>KS ISO 2758, Paper — Determination of bursting strength</w:t>
            </w:r>
          </w:p>
          <w:p w14:paraId="7560293A">
            <w:pPr>
              <w:numPr>
                <w:ilvl w:val="0"/>
                <w:numId w:val="8"/>
              </w:numPr>
              <w:spacing w:before="120" w:after="120"/>
            </w:pPr>
            <w:r>
              <w:t>KS ISO 4046: Parts 1 to 5, Paper, board, pulps and related terms — Vocabulary</w:t>
            </w:r>
          </w:p>
          <w:p w14:paraId="3AFB3832">
            <w:pPr>
              <w:numPr>
                <w:ilvl w:val="0"/>
                <w:numId w:val="8"/>
              </w:numPr>
              <w:spacing w:before="120" w:after="120"/>
            </w:pPr>
            <w:r>
              <w:t>KS ISO 5637, Paper and Board — Determination of water absorption after immersion in water</w:t>
            </w:r>
          </w:p>
          <w:p w14:paraId="3293D2CD">
            <w:pPr>
              <w:numPr>
                <w:ilvl w:val="0"/>
                <w:numId w:val="8"/>
              </w:numPr>
              <w:spacing w:before="120" w:after="120"/>
            </w:pPr>
            <w:r>
              <w:t>KS ISO 6588-1, Paper, board and pulps — Determination of pH of aqueous extracts — Part 1: Cold extraction</w:t>
            </w:r>
          </w:p>
          <w:p w14:paraId="149570DE">
            <w:pPr>
              <w:numPr>
                <w:ilvl w:val="0"/>
                <w:numId w:val="8"/>
              </w:numPr>
              <w:spacing w:before="120" w:after="120"/>
            </w:pPr>
            <w:r>
              <w:t>KS ISO 8784-1, Pulp, paper and board — Microbiological examination — Part 1: Total count of bacteria, yeast, mould based on disintegration</w:t>
            </w:r>
          </w:p>
          <w:p w14:paraId="7EC1AC24">
            <w:pPr>
              <w:numPr>
                <w:ilvl w:val="0"/>
                <w:numId w:val="8"/>
              </w:numPr>
              <w:spacing w:before="120" w:after="120"/>
              <w:ind w:left="720" w:leftChars="0" w:hanging="360" w:firstLineChars="0"/>
            </w:pPr>
            <w:r>
              <w:t>KS ISO 13914, Soil quality — Determination of dioxins and furans and dioxin-like polychlorinated biphenyls by gas chromatography with high-resolution mass selective detection (GC/HRMS)</w:t>
            </w:r>
          </w:p>
        </w:tc>
      </w:tr>
      <w:bookmarkEnd w:id="10"/>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42C9873">
            <w:pPr>
              <w:spacing w:before="120" w:after="120"/>
            </w:pPr>
            <w:r>
              <w:rPr>
                <w:b/>
              </w:rPr>
              <w:t>Proposed date of adoption:</w:t>
            </w:r>
            <w:r>
              <w:t xml:space="preserve"> 30 September 2025</w:t>
            </w:r>
          </w:p>
          <w:p w14:paraId="2DE13F88">
            <w:pPr>
              <w:spacing w:after="120"/>
            </w:pPr>
            <w:r>
              <w:rPr>
                <w:b/>
              </w:rPr>
              <w:t>Proposed date of entry into force:</w:t>
            </w:r>
            <w:r>
              <w:t xml:space="preserve"> To be determined</w:t>
            </w:r>
          </w:p>
        </w:tc>
      </w:tr>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3B96836">
            <w:pPr>
              <w:spacing w:before="120" w:after="120"/>
              <w:rPr>
                <w:rFonts w:hint="eastAsia" w:eastAsia="宋体"/>
                <w:lang w:eastAsia="zh-CN"/>
              </w:rPr>
            </w:pPr>
            <w:r>
              <w:rPr>
                <w:b/>
              </w:rPr>
              <w:t>Final date for comments:</w:t>
            </w:r>
            <w:r>
              <w:t xml:space="preserve"> 8 September 2025</w:t>
            </w:r>
            <w:r>
              <w:rPr>
                <w:rFonts w:hint="eastAsia" w:eastAsia="宋体"/>
                <w:lang w:eastAsia="zh-CN"/>
              </w:rPr>
              <w:t>，</w:t>
            </w:r>
          </w:p>
          <w:p w14:paraId="35664991">
            <w:pPr>
              <w:spacing w:before="120" w:after="120"/>
              <w:rPr>
                <w:rFonts w:hint="eastAsia" w:eastAsia="宋体"/>
                <w:lang w:eastAsia="zh-CN"/>
              </w:rPr>
            </w:pPr>
            <w:r>
              <w:rPr>
                <w:b/>
                <w:bCs/>
              </w:rPr>
              <w:t>[X] 60 days from notification</w:t>
            </w:r>
            <w:r>
              <w:t xml:space="preserve"> </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27F2B2C1">
            <w:r>
              <w:t>Kenya Bureau of Standards (KEBS)</w:t>
            </w:r>
          </w:p>
          <w:p w14:paraId="24C0604B">
            <w:r>
              <w:t>KEBS Centre</w:t>
            </w:r>
          </w:p>
          <w:p w14:paraId="033AF058">
            <w:r>
              <w:t>Contact Person: Managing Director</w:t>
            </w:r>
          </w:p>
          <w:p w14:paraId="0723244F">
            <w:r>
              <w:t>Popo Road, off Mombasa Road, Behind Bellevue Cinema</w:t>
            </w:r>
          </w:p>
          <w:p w14:paraId="6A3490FD">
            <w:r>
              <w:t>P.O. Box 54974</w:t>
            </w:r>
          </w:p>
          <w:p w14:paraId="7DAB23C5">
            <w:r>
              <w:t>Nairobi 00200</w:t>
            </w:r>
          </w:p>
          <w:p w14:paraId="298846BC">
            <w:r>
              <w:t>Tel: +(254) 722 202137; +(254) 724 255242</w:t>
            </w:r>
          </w:p>
          <w:p w14:paraId="6C0E7209">
            <w:r>
              <w:t>Fax: +(254) 20 609660; +(254) 20 604031</w:t>
            </w:r>
          </w:p>
          <w:p w14:paraId="0139B803">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3F972EBC">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21DC4FD4">
            <w:pPr>
              <w:keepNext/>
              <w:keepLines/>
              <w:rPr>
                <w:bCs/>
              </w:rPr>
            </w:pPr>
            <w:r>
              <w:rPr>
                <w:bCs/>
              </w:rPr>
              <w:t>Kenya Bureau of Standards</w:t>
            </w:r>
          </w:p>
          <w:p w14:paraId="27FEECC9">
            <w:pPr>
              <w:keepNext/>
              <w:keepLines/>
              <w:rPr>
                <w:rFonts w:hint="eastAsia" w:eastAsia="宋体"/>
                <w:bCs/>
                <w:lang w:val="en-US" w:eastAsia="zh-CN"/>
              </w:rPr>
            </w:pPr>
            <w:r>
              <w:rPr>
                <w:bCs/>
              </w:rPr>
              <w:t xml:space="preserve">WTO/TBT National Enquiry Point </w:t>
            </w:r>
            <w:r>
              <w:rPr>
                <w:rFonts w:hint="eastAsia" w:eastAsia="宋体"/>
                <w:bCs/>
                <w:lang w:val="en-US" w:eastAsia="zh-CN"/>
              </w:rPr>
              <w:t xml:space="preserve"> </w:t>
            </w:r>
          </w:p>
          <w:p w14:paraId="317E4424">
            <w:pPr>
              <w:keepNext/>
              <w:keepLines/>
              <w:rPr>
                <w:bCs/>
              </w:rPr>
            </w:pPr>
            <w:r>
              <w:rPr>
                <w:bCs/>
              </w:rPr>
              <w:t xml:space="preserve">P.O. Box: 54974-00200, Nairobi, Kenya </w:t>
            </w:r>
          </w:p>
          <w:p w14:paraId="5A952AC0">
            <w:pPr>
              <w:keepNext/>
              <w:keepLines/>
              <w:rPr>
                <w:bCs/>
              </w:rPr>
            </w:pPr>
            <w:r>
              <w:rPr>
                <w:bCs/>
              </w:rPr>
              <w:t xml:space="preserve">Telephone: + (254) 020 605490, 605506/6948258 </w:t>
            </w:r>
          </w:p>
          <w:p w14:paraId="2AEFDE8D">
            <w:pPr>
              <w:keepNext/>
              <w:keepLines/>
              <w:rPr>
                <w:bCs/>
              </w:rPr>
            </w:pPr>
            <w:r>
              <w:rPr>
                <w:bCs/>
              </w:rPr>
              <w:t xml:space="preserve">Fax: + (254) 020 609660/609665 </w:t>
            </w:r>
          </w:p>
          <w:p w14:paraId="6C526FDF">
            <w:pPr>
              <w:keepNext/>
              <w:keepLines/>
              <w:numPr>
                <w:ilvl w:val="0"/>
                <w:numId w:val="0"/>
              </w:numPr>
              <w:ind w:leftChars="0"/>
              <w:rPr>
                <w:bCs/>
              </w:rPr>
            </w:pPr>
            <w:r>
              <w:rPr>
                <w:rFonts w:hint="eastAsia" w:eastAsia="宋体"/>
                <w:bCs/>
                <w:lang w:val="en-US" w:eastAsia="zh-CN"/>
              </w:rPr>
              <w:t>E-</w:t>
            </w:r>
            <w:r>
              <w:rPr>
                <w:bCs/>
              </w:rPr>
              <w:t xml:space="preserve">mail: </w:t>
            </w:r>
            <w:r>
              <w:fldChar w:fldCharType="begin"/>
            </w:r>
            <w:r>
              <w:instrText xml:space="preserve"> HYPERLINK "mailto:info@kebs.org" </w:instrText>
            </w:r>
            <w:r>
              <w:fldChar w:fldCharType="separate"/>
            </w:r>
            <w:r>
              <w:rPr>
                <w:bCs/>
                <w:color w:val="0000FF"/>
                <w:u w:val="single"/>
              </w:rPr>
              <w:t>info@kebs.org</w:t>
            </w:r>
            <w:r>
              <w:rPr>
                <w:bCs/>
                <w:color w:val="0000FF"/>
                <w:u w:val="single"/>
              </w:rPr>
              <w:fldChar w:fldCharType="end"/>
            </w:r>
            <w:r>
              <w:rPr>
                <w:bCs/>
              </w:rPr>
              <w:t xml:space="preserve">; </w:t>
            </w:r>
          </w:p>
          <w:p w14:paraId="1BEF312B">
            <w:pPr>
              <w:keepNext/>
              <w:keepLines/>
              <w:numPr>
                <w:ilvl w:val="0"/>
                <w:numId w:val="0"/>
              </w:numPr>
              <w:ind w:leftChars="0"/>
              <w:rPr>
                <w:bCs/>
                <w:color w:val="0000FF"/>
                <w:u w:val="single"/>
              </w:rPr>
            </w:pPr>
            <w:r>
              <w:rPr>
                <w:bCs/>
              </w:rPr>
              <w:t xml:space="preserve">Website: </w:t>
            </w:r>
            <w:r>
              <w:fldChar w:fldCharType="begin"/>
            </w:r>
            <w:r>
              <w:instrText xml:space="preserve"> HYPERLINK "http://www.kebs.org" \t "_blank" </w:instrText>
            </w:r>
            <w:r>
              <w:fldChar w:fldCharType="separate"/>
            </w:r>
            <w:r>
              <w:rPr>
                <w:bCs/>
                <w:color w:val="0000FF"/>
                <w:u w:val="single"/>
              </w:rPr>
              <w:t>http://www.kebs.org</w:t>
            </w:r>
            <w:r>
              <w:rPr>
                <w:bCs/>
                <w:color w:val="0000FF"/>
                <w:u w:val="single"/>
              </w:rPr>
              <w:fldChar w:fldCharType="end"/>
            </w:r>
          </w:p>
          <w:p w14:paraId="64E630C8">
            <w:pPr>
              <w:keepNext/>
              <w:keepLines/>
              <w:rPr>
                <w:bCs/>
                <w:color w:val="0000FF"/>
                <w:u w:val="single"/>
              </w:rPr>
            </w:pPr>
          </w:p>
          <w:p w14:paraId="385B344E">
            <w:pPr>
              <w:pBdr>
                <w:top w:val="none" w:color="auto" w:sz="0" w:space="4"/>
                <w:bottom w:val="none" w:color="auto" w:sz="0" w:space="4"/>
              </w:pBdr>
              <w:rPr>
                <w:bCs/>
              </w:rPr>
            </w:pPr>
            <w:r>
              <w:fldChar w:fldCharType="begin"/>
            </w:r>
            <w:r>
              <w:instrText xml:space="preserve"> HYPERLINK "https://members.wto.org/crnattachments/2025/TBT/KEN/25_04557_00_e.pdf" \t "_blank" </w:instrText>
            </w:r>
            <w:r>
              <w:fldChar w:fldCharType="separate"/>
            </w:r>
            <w:r>
              <w:rPr>
                <w:iCs/>
                <w:color w:val="0000FF"/>
                <w:u w:val="single"/>
              </w:rPr>
              <w:t>https://members.wto.org/crnattachments/2025/TBT/KEN/25_04557_00_e.pdf</w:t>
            </w:r>
            <w:r>
              <w:rPr>
                <w:iCs/>
                <w:color w:val="0000FF"/>
                <w:u w:val="single"/>
              </w:rPr>
              <w:fldChar w:fldCharType="end"/>
            </w:r>
          </w:p>
        </w:tc>
      </w:tr>
    </w:tbl>
    <w:p w14:paraId="7C3B5B8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9" w:name="spsSymbolHeader"/>
    <w:r>
      <w:t>G/TBT/N/KEN/1792</w:t>
    </w:r>
    <w:bookmarkEnd w:id="9"/>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0"/>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1" w:name="bmkSymbols"/>
          <w:r>
            <w:rPr>
              <w:b/>
              <w:szCs w:val="16"/>
            </w:rPr>
            <w:t>G/TBT/N/KEN/1</w:t>
          </w:r>
          <w:bookmarkEnd w:id="1"/>
          <w:r>
            <w:rPr>
              <w:rFonts w:hint="eastAsia" w:eastAsia="宋体"/>
              <w:b/>
              <w:szCs w:val="16"/>
              <w:lang w:val="en-US" w:eastAsia="zh-CN"/>
            </w:rPr>
            <w:t>835</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2" w:name="spsDateDistribution"/>
          <w:bookmarkStart w:id="3" w:name="bmkDate"/>
          <w:r>
            <w:rPr>
              <w:szCs w:val="16"/>
            </w:rPr>
            <w:t>10 July 2025</w:t>
          </w:r>
          <w:bookmarkEnd w:id="2"/>
          <w:bookmarkEnd w:id="3"/>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4" w:name="bmkSerial"/>
          <w:r>
            <w:rPr>
              <w:b w:val="0"/>
              <w:color w:val="FF0000"/>
            </w:rPr>
            <w:t>(25-</w:t>
          </w:r>
          <w:r>
            <w:rPr>
              <w:rFonts w:hint="eastAsia" w:eastAsia="宋体"/>
              <w:b w:val="0"/>
              <w:color w:val="FF0000"/>
              <w:lang w:val="en-US" w:eastAsia="zh-CN"/>
            </w:rPr>
            <w:t>4456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7CC717A"/>
    <w:rsid w:val="26480F42"/>
    <w:rsid w:val="37926253"/>
    <w:rsid w:val="3F2E4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uiPriority="99" w:name="Table Grid 3"/>
    <w:lsdException w:uiPriority="99" w:name="Table Grid 4"/>
    <w:lsdException w:qFormat="1" w:uiPriority="99" w:name="Table Grid 5"/>
    <w:lsdException w:uiPriority="99" w:name="Table Grid 6"/>
    <w:lsdException w:uiPriority="99" w:name="Table Grid 7"/>
    <w:lsdException w:uiPriority="99" w:name="Table Grid 8"/>
    <w:lsdException w:qFormat="1" w:uiPriority="99" w:name="Table List 1"/>
    <w:lsdException w:qFormat="1" w:uiPriority="99" w:name="Table List 2"/>
    <w:lsdException w:qFormat="1" w:uiPriority="99" w:name="Table List 3"/>
    <w:lsdException w:qFormat="1" w:uiPriority="99" w:name="Table List 4"/>
    <w:lsdException w:uiPriority="99" w:name="Table List 5"/>
    <w:lsdException w:qFormat="1" w:uiPriority="99" w:name="Table List 6"/>
    <w:lsdException w:qFormat="1" w:uiPriority="99" w:name="Table List 7"/>
    <w:lsdException w:uiPriority="99" w:name="Table List 8"/>
    <w:lsdException w:qFormat="1" w:uiPriority="99" w:name="Table 3D effects 1"/>
    <w:lsdException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600</Words>
  <Characters>3380</Characters>
  <Lines>36</Lines>
  <Paragraphs>10</Paragraphs>
  <TotalTime>0</TotalTime>
  <ScaleCrop>false</ScaleCrop>
  <LinksUpToDate>false</LinksUpToDate>
  <CharactersWithSpaces>3928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2025-07-10T14:28:46Z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