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6DC801">
      <w:pPr>
        <w:pStyle w:val="84"/>
        <w:rPr>
          <w:caps w:val="0"/>
          <w:kern w:val="0"/>
        </w:rPr>
      </w:pPr>
      <w:r>
        <w:rPr>
          <w:caps w:val="0"/>
          <w:kern w:val="0"/>
        </w:rPr>
        <w:t>NOTIFICATION</w:t>
      </w:r>
    </w:p>
    <w:p w14:paraId="1A9ECB9C">
      <w:pPr>
        <w:jc w:val="center"/>
      </w:pPr>
      <w:r>
        <w:t>The following notification is being circulated in accordance with Article 10.6</w:t>
      </w:r>
    </w:p>
    <w:p w14:paraId="58F5D77E"/>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12AC64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6A58E2F9">
            <w:pPr>
              <w:spacing w:before="120" w:after="120"/>
              <w:jc w:val="left"/>
            </w:pPr>
            <w:r>
              <w:rPr>
                <w:b/>
              </w:rPr>
              <w:t>1.</w:t>
            </w:r>
          </w:p>
        </w:tc>
        <w:tc>
          <w:tcPr>
            <w:tcW w:w="8546" w:type="dxa"/>
            <w:tcBorders>
              <w:bottom w:val="single" w:color="auto" w:sz="6" w:space="0"/>
            </w:tcBorders>
            <w:shd w:val="clear" w:color="auto" w:fill="auto"/>
          </w:tcPr>
          <w:p w14:paraId="6F08615E">
            <w:pPr>
              <w:spacing w:before="120" w:after="120"/>
            </w:pPr>
            <w:r>
              <w:rPr>
                <w:b/>
              </w:rPr>
              <w:t>Notifying Member:</w:t>
            </w:r>
            <w:r>
              <w:t xml:space="preserve"> </w:t>
            </w:r>
            <w:r>
              <w:rPr>
                <w:u w:val="single"/>
              </w:rPr>
              <w:t>JORDAN</w:t>
            </w:r>
          </w:p>
          <w:p w14:paraId="2F8C371B">
            <w:pPr>
              <w:spacing w:after="120"/>
            </w:pPr>
            <w:r>
              <w:rPr>
                <w:b/>
              </w:rPr>
              <w:t>If applicable, name of local government involved (Article 3.2 and 7.2):</w:t>
            </w:r>
            <w:r>
              <w:t xml:space="preserve"> </w:t>
            </w:r>
          </w:p>
        </w:tc>
      </w:tr>
      <w:tr w14:paraId="3B8823F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1053F80">
            <w:pPr>
              <w:spacing w:before="120" w:after="120"/>
              <w:jc w:val="left"/>
            </w:pPr>
            <w:r>
              <w:rPr>
                <w:b/>
              </w:rPr>
              <w:t>2.</w:t>
            </w:r>
          </w:p>
        </w:tc>
        <w:tc>
          <w:tcPr>
            <w:tcW w:w="8546" w:type="dxa"/>
            <w:tcBorders>
              <w:top w:val="single" w:color="auto" w:sz="6" w:space="0"/>
              <w:bottom w:val="single" w:color="auto" w:sz="6" w:space="0"/>
            </w:tcBorders>
            <w:shd w:val="clear" w:color="auto" w:fill="auto"/>
          </w:tcPr>
          <w:p w14:paraId="5161E3B2">
            <w:pPr>
              <w:spacing w:before="120" w:after="120"/>
            </w:pPr>
            <w:r>
              <w:rPr>
                <w:b/>
              </w:rPr>
              <w:t>Agency responsible:</w:t>
            </w:r>
            <w:r>
              <w:t xml:space="preserve"> </w:t>
            </w:r>
          </w:p>
          <w:p w14:paraId="33690778">
            <w:r>
              <w:t>Jordan Standards and Metrology Organization (JSMO)</w:t>
            </w:r>
          </w:p>
          <w:p w14:paraId="5F505E55">
            <w:r>
              <w:t>Tel: +962 6 5301225, Fax: +962 6 5301249</w:t>
            </w:r>
          </w:p>
          <w:p w14:paraId="1D285189">
            <w:r>
              <w:t xml:space="preserve">E-mail: </w:t>
            </w:r>
            <w:r>
              <w:fldChar w:fldCharType="begin"/>
            </w:r>
            <w:r>
              <w:instrText xml:space="preserve"> HYPERLINK "mailto:jsmo@jsmo.gov.jo" </w:instrText>
            </w:r>
            <w:r>
              <w:fldChar w:fldCharType="separate"/>
            </w:r>
            <w:r>
              <w:rPr>
                <w:color w:val="0000FF"/>
                <w:u w:val="single"/>
              </w:rPr>
              <w:t>jsmo@jsmo.gov.jo</w:t>
            </w:r>
            <w:r>
              <w:rPr>
                <w:color w:val="0000FF"/>
                <w:u w:val="single"/>
              </w:rPr>
              <w:fldChar w:fldCharType="end"/>
            </w:r>
          </w:p>
          <w:p w14:paraId="074BCCB7">
            <w:pPr>
              <w:spacing w:after="120"/>
              <w:rPr>
                <w:color w:val="0000FF"/>
                <w:u w:val="single"/>
              </w:rPr>
            </w:pPr>
            <w:r>
              <w:t xml:space="preserve">Website: </w:t>
            </w:r>
            <w:r>
              <w:fldChar w:fldCharType="begin"/>
            </w:r>
            <w:r>
              <w:instrText xml:space="preserve"> HYPERLINK "http://www.jsmo.gov.jo/" \t "_blank" </w:instrText>
            </w:r>
            <w:r>
              <w:fldChar w:fldCharType="separate"/>
            </w:r>
            <w:r>
              <w:rPr>
                <w:color w:val="0000FF"/>
                <w:u w:val="single"/>
              </w:rPr>
              <w:t>http://www.jsmo.gov.jo/</w:t>
            </w:r>
            <w:r>
              <w:rPr>
                <w:color w:val="0000FF"/>
                <w:u w:val="single"/>
              </w:rPr>
              <w:fldChar w:fldCharType="end"/>
            </w:r>
          </w:p>
          <w:p w14:paraId="513A1017">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2136DB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0D96E62">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606C9EC2">
            <w:pPr>
              <w:spacing w:before="120" w:after="120"/>
            </w:pPr>
            <w:r>
              <w:rPr>
                <w:b/>
              </w:rPr>
              <w:t>Notified under Article 2.9.2 [X], 2.10.1 [ ], 5.6.2 [ ], 5.7.1 [ ], 3.2 [ ], 7.2 [ ], other:</w:t>
            </w:r>
            <w:r>
              <w:t xml:space="preserve"> </w:t>
            </w:r>
          </w:p>
        </w:tc>
      </w:tr>
      <w:tr w14:paraId="14BAC97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65CFC3">
            <w:pPr>
              <w:spacing w:before="120" w:after="120"/>
              <w:jc w:val="left"/>
            </w:pPr>
            <w:r>
              <w:rPr>
                <w:b/>
              </w:rPr>
              <w:t>4.</w:t>
            </w:r>
          </w:p>
        </w:tc>
        <w:tc>
          <w:tcPr>
            <w:tcW w:w="8546" w:type="dxa"/>
            <w:tcBorders>
              <w:top w:val="single" w:color="auto" w:sz="6" w:space="0"/>
              <w:bottom w:val="single" w:color="auto" w:sz="6" w:space="0"/>
            </w:tcBorders>
            <w:shd w:val="clear" w:color="auto" w:fill="auto"/>
          </w:tcPr>
          <w:p w14:paraId="22E05F75">
            <w:pPr>
              <w:spacing w:before="120" w:after="120"/>
            </w:pPr>
            <w:r>
              <w:rPr>
                <w:b/>
              </w:rPr>
              <w:t>Products covered (HS or CCCN where applicable, otherwise national tariff heading. ICS numbers may be provided in addition, where applicable):</w:t>
            </w:r>
            <w:r>
              <w:t xml:space="preserve"> Sugar and sugar products (ICS code(s): 67.180.10)</w:t>
            </w:r>
          </w:p>
        </w:tc>
      </w:tr>
      <w:tr w14:paraId="1DA3EAE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CCFE2C0">
            <w:pPr>
              <w:spacing w:before="120" w:after="120"/>
              <w:jc w:val="left"/>
            </w:pPr>
            <w:r>
              <w:rPr>
                <w:b/>
              </w:rPr>
              <w:t>5.</w:t>
            </w:r>
          </w:p>
        </w:tc>
        <w:tc>
          <w:tcPr>
            <w:tcW w:w="8546" w:type="dxa"/>
            <w:tcBorders>
              <w:top w:val="single" w:color="auto" w:sz="6" w:space="0"/>
              <w:bottom w:val="single" w:color="auto" w:sz="6" w:space="0"/>
            </w:tcBorders>
            <w:shd w:val="clear" w:color="auto" w:fill="auto"/>
          </w:tcPr>
          <w:p w14:paraId="45519488">
            <w:pPr>
              <w:spacing w:before="120" w:after="120"/>
            </w:pPr>
            <w:r>
              <w:rPr>
                <w:b/>
              </w:rPr>
              <w:t>Title, number of pages and language(s) of the notified document:</w:t>
            </w:r>
            <w:r>
              <w:t xml:space="preserve"> Sugar and sugar products – Chocolate and chocolate products; (10 page(s), in Arabic)</w:t>
            </w:r>
          </w:p>
        </w:tc>
      </w:tr>
      <w:tr w14:paraId="6B43DE3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476FE47">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15945C96">
            <w:pPr>
              <w:spacing w:before="120" w:after="120"/>
            </w:pPr>
            <w:r>
              <w:rPr>
                <w:b/>
              </w:rPr>
              <w:t>Description of content:</w:t>
            </w:r>
            <w:r>
              <w:t xml:space="preserve"> This standard specifies the requirements for chocolate and its various types and forms intended for human consumption, including composition, food additives, microbiological limits, contaminants, labeling, packaging, and storage requirements. It consolidates and replaces previous standards DJS 8-1/2005, 8-2/2005, and 8-3/2005.</w:t>
            </w:r>
          </w:p>
        </w:tc>
      </w:tr>
      <w:tr w14:paraId="62A36D8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5B153FA">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1EEF6FDE">
            <w:pPr>
              <w:spacing w:before="120" w:after="120"/>
              <w:rPr>
                <w:b/>
              </w:rPr>
            </w:pPr>
            <w:r>
              <w:rPr>
                <w:b/>
              </w:rPr>
              <w:t>Objective and rationale, including the nature of urgent problems where applicable:</w:t>
            </w:r>
            <w:r>
              <w:t xml:space="preserve"> Facilitation of trade by removing technical barriers; Prevention of deceptive practices and consumer protection; Protection of human health or safety; Harmonization</w:t>
            </w:r>
          </w:p>
        </w:tc>
      </w:tr>
      <w:tr w14:paraId="3140AA3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2AD40F0">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3BA104D0">
            <w:pPr>
              <w:spacing w:before="120" w:after="120"/>
              <w:rPr>
                <w:bCs/>
              </w:rPr>
            </w:pPr>
            <w:r>
              <w:rPr>
                <w:b/>
              </w:rPr>
              <w:t>Relevant documents:</w:t>
            </w:r>
            <w:r>
              <w:t xml:space="preserve"> </w:t>
            </w:r>
          </w:p>
          <w:p w14:paraId="004C970F">
            <w:pPr>
              <w:spacing w:before="120" w:after="120"/>
            </w:pPr>
            <w:r>
              <w:t>Codex Alimentarius Standard 87/1981 (Chocolate and chocolate products, amended 2022)</w:t>
            </w:r>
          </w:p>
          <w:p w14:paraId="154BDDE3">
            <w:pPr>
              <w:spacing w:before="120" w:after="120"/>
            </w:pPr>
            <w:r>
              <w:t>GSO Standard 1016/2015</w:t>
            </w:r>
          </w:p>
          <w:p w14:paraId="1A8C133A">
            <w:pPr>
              <w:spacing w:before="120" w:after="120"/>
            </w:pPr>
            <w:r>
              <w:t>GSO Standard 567/2021</w:t>
            </w:r>
          </w:p>
          <w:p w14:paraId="70B2E1AF">
            <w:pPr>
              <w:numPr>
                <w:ilvl w:val="0"/>
                <w:numId w:val="0"/>
              </w:numPr>
              <w:spacing w:before="120" w:after="120"/>
            </w:pPr>
            <w:r>
              <w:t>GSO Technical Regulation 2483/2024</w:t>
            </w:r>
          </w:p>
        </w:tc>
      </w:tr>
      <w:tr w14:paraId="6AD008C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18CDF7B0">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0A3E545">
            <w:pPr>
              <w:spacing w:before="120" w:after="120"/>
            </w:pPr>
            <w:r>
              <w:rPr>
                <w:b/>
              </w:rPr>
              <w:t>Proposed date of adoption:</w:t>
            </w:r>
            <w:r>
              <w:t xml:space="preserve"> 1 December 2025</w:t>
            </w:r>
          </w:p>
          <w:p w14:paraId="1A9F42BD">
            <w:pPr>
              <w:spacing w:after="120"/>
            </w:pPr>
            <w:r>
              <w:rPr>
                <w:b/>
              </w:rPr>
              <w:t>Proposed date of entry into force:</w:t>
            </w:r>
            <w:r>
              <w:t xml:space="preserve"> 1 March 2026</w:t>
            </w:r>
            <w:bookmarkStart w:id="10" w:name="_GoBack"/>
            <w:bookmarkEnd w:id="10"/>
          </w:p>
        </w:tc>
      </w:tr>
      <w:tr w14:paraId="287C7B7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9ECA184">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19217BDE">
            <w:pPr>
              <w:spacing w:before="120" w:after="120"/>
              <w:rPr>
                <w:rFonts w:hint="eastAsia" w:eastAsia="宋体"/>
                <w:bCs/>
                <w:lang w:eastAsia="zh-CN"/>
              </w:rPr>
            </w:pPr>
            <w:r>
              <w:rPr>
                <w:b/>
              </w:rPr>
              <w:t>Final date for comments:</w:t>
            </w:r>
            <w:r>
              <w:t xml:space="preserve"> 7 September 2025</w:t>
            </w:r>
            <w:r>
              <w:rPr>
                <w:rFonts w:hint="eastAsia" w:eastAsia="宋体"/>
                <w:lang w:eastAsia="zh-CN"/>
              </w:rPr>
              <w:t>，</w:t>
            </w:r>
          </w:p>
          <w:p w14:paraId="04EA96F4">
            <w:pPr>
              <w:tabs>
                <w:tab w:val="left" w:pos="1418"/>
                <w:tab w:val="left" w:pos="2127"/>
                <w:tab w:val="left" w:pos="2835"/>
                <w:tab w:val="left" w:pos="4664"/>
              </w:tabs>
              <w:spacing w:before="120" w:after="120"/>
              <w:rPr>
                <w:rFonts w:hint="eastAsia" w:eastAsia="宋体"/>
                <w:lang w:eastAsia="zh-CN"/>
              </w:rPr>
            </w:pPr>
            <w:r>
              <w:rPr>
                <w:b/>
                <w:bCs/>
              </w:rPr>
              <w:t>[X] 60 days from notification</w:t>
            </w:r>
            <w:r>
              <w:t xml:space="preserve"> </w:t>
            </w:r>
            <w:r>
              <w:rPr>
                <w:rFonts w:hint="eastAsia" w:eastAsia="宋体"/>
                <w:lang w:eastAsia="zh-CN"/>
              </w:rPr>
              <w:tab/>
            </w:r>
          </w:p>
        </w:tc>
      </w:tr>
      <w:tr w14:paraId="1335422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A99A999">
            <w:pPr>
              <w:keepNext/>
              <w:keepLines/>
              <w:spacing w:before="120" w:after="120"/>
              <w:jc w:val="left"/>
              <w:rPr>
                <w:b/>
              </w:rPr>
            </w:pPr>
            <w:r>
              <w:rPr>
                <w:b/>
              </w:rPr>
              <w:t>11.</w:t>
            </w:r>
          </w:p>
        </w:tc>
        <w:tc>
          <w:tcPr>
            <w:tcW w:w="8546" w:type="dxa"/>
            <w:tcBorders>
              <w:top w:val="single" w:color="auto" w:sz="6" w:space="0"/>
            </w:tcBorders>
            <w:shd w:val="clear" w:color="auto" w:fill="auto"/>
          </w:tcPr>
          <w:p w14:paraId="040C27DB">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0360C918">
            <w:r>
              <w:t>Jordan Standards and Metrology Organization (JSMO)</w:t>
            </w:r>
          </w:p>
          <w:p w14:paraId="256F0071">
            <w:r>
              <w:t>WTO/TBT Enquiry Point</w:t>
            </w:r>
          </w:p>
          <w:p w14:paraId="2E70AB85">
            <w:r>
              <w:t>Tel: +962 6 5301225</w:t>
            </w:r>
          </w:p>
          <w:p w14:paraId="3370D732">
            <w:r>
              <w:t>Fax: +962 6 5301249</w:t>
            </w:r>
          </w:p>
          <w:p w14:paraId="2C11ED91">
            <w:pPr>
              <w:keepNext/>
              <w:keepLines/>
              <w:numPr>
                <w:ilvl w:val="0"/>
                <w:numId w:val="0"/>
              </w:numPr>
              <w:pBdr>
                <w:top w:val="none" w:color="auto" w:sz="0" w:space="4"/>
              </w:pBdr>
              <w:spacing w:after="120"/>
              <w:rPr>
                <w:color w:val="0000FF"/>
                <w:u w:val="single"/>
              </w:rPr>
            </w:pPr>
            <w:r>
              <w:rPr>
                <w:rFonts w:hint="eastAsia" w:eastAsia="宋体"/>
                <w:lang w:val="en-US" w:eastAsia="zh-CN"/>
              </w:rPr>
              <w:t>E-</w:t>
            </w:r>
            <w:r>
              <w:t xml:space="preserve">mail: </w:t>
            </w:r>
            <w:r>
              <w:fldChar w:fldCharType="begin"/>
            </w:r>
            <w:r>
              <w:instrText xml:space="preserve"> HYPERLINK "mailto:enquiry@jsmo.gov.jo" </w:instrText>
            </w:r>
            <w:r>
              <w:fldChar w:fldCharType="separate"/>
            </w:r>
            <w:r>
              <w:rPr>
                <w:color w:val="0000FF"/>
                <w:u w:val="single"/>
              </w:rPr>
              <w:t>enquiry@jsmo.gov.jo</w:t>
            </w:r>
            <w:r>
              <w:rPr>
                <w:color w:val="0000FF"/>
                <w:u w:val="single"/>
              </w:rPr>
              <w:fldChar w:fldCharType="end"/>
            </w:r>
          </w:p>
          <w:p w14:paraId="6A36A76E">
            <w:pPr>
              <w:keepNext/>
              <w:keepLines/>
              <w:numPr>
                <w:ilvl w:val="0"/>
                <w:numId w:val="0"/>
              </w:numPr>
              <w:pBdr>
                <w:top w:val="none" w:color="auto" w:sz="0" w:space="4"/>
              </w:pBdr>
              <w:spacing w:after="120"/>
            </w:pPr>
          </w:p>
          <w:p w14:paraId="6C874D1F">
            <w:pPr>
              <w:keepNext/>
              <w:keepLines/>
              <w:numPr>
                <w:ilvl w:val="0"/>
                <w:numId w:val="0"/>
              </w:numPr>
              <w:pBdr>
                <w:top w:val="none" w:color="auto" w:sz="0" w:space="4"/>
              </w:pBdr>
              <w:spacing w:after="120"/>
              <w:rPr>
                <w:bCs/>
              </w:rPr>
            </w:pPr>
            <w:r>
              <w:fldChar w:fldCharType="begin"/>
            </w:r>
            <w:r>
              <w:instrText xml:space="preserve"> HYPERLINK "https://jsmo.gov.jo/EBV4.0/Root_Storage/AR/EB_UsefullLinks/DJS_C1_8-2025_Chocolate.pdf" \t "_blank" </w:instrText>
            </w:r>
            <w:r>
              <w:fldChar w:fldCharType="separate"/>
            </w:r>
            <w:r>
              <w:rPr>
                <w:iCs/>
                <w:color w:val="0000FF"/>
                <w:u w:val="single"/>
              </w:rPr>
              <w:t>https://jsmo.gov.jo/EBV4.0/Root_Storage/AR/EB_UsefullLinks/DJS_C1_8-2025_Chocolate.pdf</w:t>
            </w:r>
            <w:r>
              <w:rPr>
                <w:iCs/>
                <w:color w:val="0000FF"/>
                <w:u w:val="single"/>
              </w:rPr>
              <w:fldChar w:fldCharType="end"/>
            </w:r>
          </w:p>
        </w:tc>
      </w:tr>
    </w:tbl>
    <w:p w14:paraId="7D37EA0B"/>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08E4E">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3627BA">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2BF41">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DB6C9">
    <w:pPr>
      <w:pStyle w:val="58"/>
      <w:pBdr>
        <w:bottom w:val="single" w:color="auto" w:sz="4" w:space="1"/>
      </w:pBdr>
      <w:tabs>
        <w:tab w:val="clear" w:pos="4513"/>
        <w:tab w:val="clear" w:pos="9027"/>
      </w:tabs>
      <w:jc w:val="center"/>
    </w:pPr>
    <w:bookmarkStart w:id="9" w:name="spsSymbolHeader"/>
    <w:r>
      <w:t>G/TBT/N/JOR/63</w:t>
    </w:r>
    <w:bookmarkEnd w:id="9"/>
  </w:p>
  <w:p w14:paraId="412A39A0">
    <w:pPr>
      <w:pStyle w:val="58"/>
      <w:pBdr>
        <w:bottom w:val="single" w:color="auto" w:sz="4" w:space="1"/>
      </w:pBdr>
      <w:tabs>
        <w:tab w:val="clear" w:pos="4513"/>
        <w:tab w:val="clear" w:pos="9027"/>
      </w:tabs>
      <w:jc w:val="center"/>
    </w:pPr>
  </w:p>
  <w:p w14:paraId="0BF18BAA">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4C87B8BF">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19B0D">
    <w:pPr>
      <w:pStyle w:val="58"/>
      <w:pBdr>
        <w:bottom w:val="single" w:color="auto" w:sz="4" w:space="1"/>
      </w:pBdr>
      <w:tabs>
        <w:tab w:val="clear" w:pos="4513"/>
        <w:tab w:val="clear" w:pos="9027"/>
      </w:tabs>
      <w:jc w:val="center"/>
    </w:pPr>
    <w:r>
      <w:t>tbtSymbol</w:t>
    </w:r>
  </w:p>
  <w:p w14:paraId="67F614F7">
    <w:pPr>
      <w:pStyle w:val="58"/>
      <w:pBdr>
        <w:bottom w:val="single" w:color="auto" w:sz="4" w:space="1"/>
      </w:pBdr>
      <w:tabs>
        <w:tab w:val="clear" w:pos="4513"/>
        <w:tab w:val="clear" w:pos="9027"/>
      </w:tabs>
      <w:jc w:val="center"/>
    </w:pPr>
  </w:p>
  <w:p w14:paraId="668F405D">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20A51A8F">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12269E79">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76B8F3E5">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3071A07D">
          <w:pPr>
            <w:jc w:val="right"/>
            <w:rPr>
              <w:b/>
              <w:color w:val="FF0000"/>
              <w:szCs w:val="16"/>
            </w:rPr>
          </w:pPr>
        </w:p>
      </w:tc>
    </w:tr>
    <w:bookmarkEnd w:id="0"/>
    <w:tr w14:paraId="67A98848">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6E9A513C">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312B5D5D">
          <w:pPr>
            <w:jc w:val="right"/>
            <w:rPr>
              <w:b/>
              <w:szCs w:val="16"/>
            </w:rPr>
          </w:pPr>
        </w:p>
      </w:tc>
    </w:tr>
    <w:tr w14:paraId="69C6DCD1">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6DDE27A4">
          <w:pPr>
            <w:jc w:val="left"/>
            <w:rPr>
              <w:lang w:eastAsia="en-GB"/>
            </w:rPr>
          </w:pPr>
        </w:p>
      </w:tc>
      <w:tc>
        <w:tcPr>
          <w:tcW w:w="5448" w:type="dxa"/>
          <w:gridSpan w:val="2"/>
          <w:shd w:val="clear" w:color="auto" w:fill="FFFFFF"/>
          <w:tcMar>
            <w:left w:w="108" w:type="dxa"/>
            <w:right w:w="108" w:type="dxa"/>
          </w:tcMar>
        </w:tcPr>
        <w:p w14:paraId="7EA3B795">
          <w:pPr>
            <w:jc w:val="right"/>
            <w:rPr>
              <w:rFonts w:hint="eastAsia" w:eastAsia="宋体"/>
              <w:b/>
              <w:szCs w:val="16"/>
              <w:lang w:eastAsia="zh-CN"/>
            </w:rPr>
          </w:pPr>
          <w:bookmarkStart w:id="1" w:name="bmkSymbols"/>
          <w:r>
            <w:rPr>
              <w:b/>
              <w:szCs w:val="16"/>
            </w:rPr>
            <w:t>G/TBT/N/JOR/6</w:t>
          </w:r>
          <w:bookmarkEnd w:id="1"/>
          <w:r>
            <w:rPr>
              <w:rFonts w:hint="eastAsia" w:eastAsia="宋体"/>
              <w:b/>
              <w:szCs w:val="16"/>
              <w:lang w:val="en-US" w:eastAsia="zh-CN"/>
            </w:rPr>
            <w:t>8</w:t>
          </w:r>
        </w:p>
      </w:tc>
    </w:tr>
    <w:tr w14:paraId="58077EA6">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D122A5A"/>
      </w:tc>
      <w:tc>
        <w:tcPr>
          <w:tcW w:w="5448" w:type="dxa"/>
          <w:gridSpan w:val="2"/>
          <w:shd w:val="clear" w:color="auto" w:fill="FFFFFF"/>
          <w:tcMar>
            <w:left w:w="108" w:type="dxa"/>
            <w:right w:w="108" w:type="dxa"/>
          </w:tcMar>
          <w:vAlign w:val="center"/>
        </w:tcPr>
        <w:p w14:paraId="0CEF6BCE">
          <w:pPr>
            <w:jc w:val="right"/>
            <w:rPr>
              <w:szCs w:val="16"/>
            </w:rPr>
          </w:pPr>
          <w:bookmarkStart w:id="2" w:name="spsDateDistribution"/>
          <w:bookmarkStart w:id="3" w:name="bmkDate"/>
          <w:r>
            <w:rPr>
              <w:rFonts w:hint="eastAsia" w:eastAsia="宋体"/>
              <w:szCs w:val="16"/>
              <w:lang w:val="en-US" w:eastAsia="zh-CN"/>
            </w:rPr>
            <w:t>9</w:t>
          </w:r>
          <w:r>
            <w:rPr>
              <w:szCs w:val="16"/>
            </w:rPr>
            <w:t xml:space="preserve"> July 2025</w:t>
          </w:r>
          <w:bookmarkEnd w:id="2"/>
          <w:bookmarkEnd w:id="3"/>
        </w:p>
      </w:tc>
    </w:tr>
    <w:tr w14:paraId="4ED8B641">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329284B7">
          <w:pPr>
            <w:jc w:val="left"/>
            <w:rPr>
              <w:b/>
            </w:rPr>
          </w:pPr>
          <w:bookmarkStart w:id="4" w:name="bmkSerial"/>
          <w:r>
            <w:rPr>
              <w:b w:val="0"/>
              <w:color w:val="FF0000"/>
            </w:rPr>
            <w:t>(25-</w:t>
          </w:r>
          <w:r>
            <w:rPr>
              <w:rFonts w:hint="eastAsia" w:eastAsia="宋体"/>
              <w:b w:val="0"/>
              <w:color w:val="FF0000"/>
              <w:lang w:val="en-US" w:eastAsia="zh-CN"/>
            </w:rPr>
            <w:t>4436</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39FA353A">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39BB48E">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AD4C0B0">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7EF12169">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76A655C">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02155"/>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0F799A"/>
    <w:rsid w:val="0011356B"/>
    <w:rsid w:val="001157E9"/>
    <w:rsid w:val="001206E6"/>
    <w:rsid w:val="00125032"/>
    <w:rsid w:val="0013337F"/>
    <w:rsid w:val="00155128"/>
    <w:rsid w:val="001621F4"/>
    <w:rsid w:val="00182B84"/>
    <w:rsid w:val="0018646B"/>
    <w:rsid w:val="00186B9C"/>
    <w:rsid w:val="00191D12"/>
    <w:rsid w:val="001A464A"/>
    <w:rsid w:val="001B5925"/>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638"/>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575C6"/>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D5F5C"/>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41C4EDB"/>
    <w:rsid w:val="1072495A"/>
    <w:rsid w:val="10826B2D"/>
    <w:rsid w:val="75CD2F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unhideWhenUsed="0" w:uiPriority="2" w:semiHidden="0" w:name="heading 7"/>
    <w:lsdException w:qFormat="1" w:unhideWhenUsed="0" w:uiPriority="2" w:semiHidden="0" w:name="heading 8"/>
    <w:lsdException w:unhideWhenUsed="0" w:uiPriority="2" w:semiHidden="0" w:name="heading 9"/>
    <w:lsdException w:qFormat="1" w:uiPriority="99" w:name="index 1"/>
    <w:lsdException w:qFormat="1" w:uiPriority="99" w:name="index 2"/>
    <w:lsdException w:uiPriority="99" w:name="index 3"/>
    <w:lsdException w:qFormat="1" w:uiPriority="99" w:name="index 4"/>
    <w:lsdException w:uiPriority="99" w:name="index 5"/>
    <w:lsdException w:uiPriority="99" w:name="index 6"/>
    <w:lsdException w:qFormat="1" w:uiPriority="99" w:name="index 7"/>
    <w:lsdException w:uiPriority="99" w:name="index 8"/>
    <w:lsdException w:uiPriority="99" w:name="index 9"/>
    <w:lsdException w:qFormat="1" w:unhideWhenUsed="0" w:uiPriority="39" w:semiHidden="0" w:name="toc 1"/>
    <w:lsdException w:unhideWhenUsed="0" w:uiPriority="39" w:semiHidden="0" w:name="toc 2"/>
    <w:lsdException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unhideWhenUsed="0" w:uiPriority="39" w:semiHidden="0" w:name="toc 7"/>
    <w:lsdException w:qFormat="1" w:unhideWhenUsed="0" w:uiPriority="39" w:semiHidden="0" w:name="toc 8"/>
    <w:lsdException w:unhideWhenUsed="0" w:uiPriority="39" w:semiHidden="0" w:name="toc 9"/>
    <w:lsdException w:uiPriority="99" w:name="Normal Indent"/>
    <w:lsdException w:qFormat="1" w:unhideWhenUsed="0" w:uiPriority="5" w:semiHidden="0" w:name="footnote text"/>
    <w:lsdException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unhideWhenUsed="0" w:uiPriority="39" w:semiHidden="0" w:name="table of figures"/>
    <w:lsdException w:uiPriority="99" w:name="envelope address"/>
    <w:lsdException w:qFormat="1" w:uiPriority="99" w:name="envelope return"/>
    <w:lsdException w:unhideWhenUsed="0" w:uiPriority="5" w:semiHidden="0" w:name="footnote reference"/>
    <w:lsdException w:uiPriority="99" w:name="annotation reference"/>
    <w:lsdException w:uiPriority="99" w:name="line number"/>
    <w:lsdException w:uiPriority="99" w:name="page number"/>
    <w:lsdException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uiPriority="39" w:semiHidden="0" w:name="toa heading"/>
    <w:lsdException w:qFormat="1" w:uiPriority="99" w:name="List"/>
    <w:lsdException w:unhideWhenUsed="0" w:uiPriority="1" w:semiHidden="0" w:name="List Bullet"/>
    <w:lsdException w:uiPriority="49" w:name="List Number"/>
    <w:lsdException w:uiPriority="99" w:name="List 2"/>
    <w:lsdException w:uiPriority="99" w:name="List 3"/>
    <w:lsdException w:uiPriority="99" w:name="List 4"/>
    <w:lsdException w:qFormat="1" w:uiPriority="99" w:name="List 5"/>
    <w:lsdException w:qFormat="1" w:unhideWhenUsed="0" w:uiPriority="1" w:semiHidden="0" w:name="List Bullet 2"/>
    <w:lsdException w:qFormat="1" w:unhideWhenUsed="0" w:uiPriority="1" w:semiHidden="0" w:name="List Bullet 3"/>
    <w:lsdException w:unhideWhenUsed="0" w:uiPriority="1" w:semiHidden="0" w:name="List Bullet 4"/>
    <w:lsdException w:qFormat="1" w:unhideWhenUsed="0" w:uiPriority="1" w:semiHidden="0" w:name="List Bullet 5"/>
    <w:lsdException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uiPriority="99" w:name="Closing"/>
    <w:lsdException w:qFormat="1" w:uiPriority="99" w:name="Signature"/>
    <w:lsdException w:qFormat="1" w:uiPriority="1" w:name="Default Paragraph Font"/>
    <w:lsdException w:qFormat="1" w:unhideWhenUsed="0" w:uiPriority="1" w:semiHidden="0" w:name="Body Text"/>
    <w:lsdException w:uiPriority="99" w:name="Body Text Indent"/>
    <w:lsdException w:qFormat="1" w:uiPriority="99" w:name="List Continue"/>
    <w:lsdException w:qFormat="1" w:uiPriority="99" w:name="List Continue 2"/>
    <w:lsdException w:uiPriority="99" w:name="List Continue 3"/>
    <w:lsdException w:uiPriority="99" w:name="List Continue 4"/>
    <w:lsdException w:qFormat="1" w:uiPriority="99" w:name="List Continue 5"/>
    <w:lsdException w:qFormat="1" w:uiPriority="99" w:name="Message Header"/>
    <w:lsdException w:qFormat="1" w:unhideWhenUsed="0" w:uiPriority="6" w:semiHidden="0" w:name="Subtitle"/>
    <w:lsdException w:uiPriority="99" w:name="Salutation"/>
    <w:lsdException w:uiPriority="99" w:name="Date"/>
    <w:lsdException w:qFormat="1" w:uiPriority="99" w:name="Body Text First Indent"/>
    <w:lsdException w:qFormat="1" w:uiPriority="99" w:name="Body Text First Indent 2"/>
    <w:lsdException w:uiPriority="99" w:name="Note Heading"/>
    <w:lsdException w:qFormat="1" w:unhideWhenUsed="0" w:uiPriority="1" w:semiHidden="0" w:name="Body Text 2"/>
    <w:lsdException w:qFormat="1" w:unhideWhenUsed="0" w:uiPriority="1" w:semiHidden="0" w:name="Body Text 3"/>
    <w:lsdException w:uiPriority="99" w:name="Body Text Indent 2"/>
    <w:lsdException w:uiPriority="99" w:name="Body Text Indent 3"/>
    <w:lsdException w:qFormat="1" w:uiPriority="99" w:name="Block Text"/>
    <w:lsdException w:uiPriority="9" w:semiHidden="0" w:name="Hyperlink"/>
    <w:lsdException w:uiPriority="9" w:semiHidden="0" w:name="FollowedHyperlink"/>
    <w:lsdException w:qFormat="1" w:unhideWhenUsed="0" w:uiPriority="99" w:name="Strong"/>
    <w:lsdException w:qFormat="1" w:unhideWhenUsed="0" w:uiPriority="99" w:name="Emphasis"/>
    <w:lsdException w:uiPriority="99" w:name="Document Map"/>
    <w:lsdException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uiPriority="99" w:name="Table List 1"/>
    <w:lsdException w:uiPriority="99" w:name="Table List 2"/>
    <w:lsdException w:uiPriority="99" w:name="Table List 3"/>
    <w:lsdException w:uiPriority="99" w:name="Table List 4"/>
    <w:lsdException w:qFormat="1"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qFormat="1" w:uiPriority="99" w:name="Table 3D effects 3"/>
    <w:lsdException w:uiPriority="99" w:name="Table Contemporary"/>
    <w:lsdException w:uiPriority="99" w:name="Table Elegant"/>
    <w:lsdException w:qFormat="1" w:uiPriority="99" w:name="Table Professional"/>
    <w:lsdException w:uiPriority="99" w:name="Table Subtle 1"/>
    <w:lsdException w:uiPriority="99" w:name="Table Subtle 2"/>
    <w:lsdException w:qFormat="1" w:uiPriority="99" w:name="Table Web 1"/>
    <w:lsdException w:qFormat="1" w:uiPriority="99" w:name="Table Web 2"/>
    <w:lsdException w:qFormat="1" w:uiPriority="99" w:name="Table Web 3"/>
    <w:lsdException w:uiPriority="99" w:name="Balloon Text"/>
    <w:lsdException w:unhideWhenUsed="0" w:uiPriority="59" w:semiHidden="0" w:name="Table Grid"/>
    <w:lsdException w:uiPriority="99" w:name="Table Theme"/>
    <w:lsdException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unhideWhenUsed="0" w:uiPriority="63" w:semiHidden="0" w:name="Medium Shading 1 Accent 1"/>
    <w:lsdException w:qFormat="1"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qFormat="1"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unhideWhenUsed="0" w:uiPriority="63" w:semiHidden="0" w:name="Medium Shading 1 Accent 2"/>
    <w:lsdException w:qFormat="1"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qFormat="1" w:unhideWhenUsed="0" w:uiPriority="68" w:semiHidden="0" w:name="Medium Grid 2 Accent 2"/>
    <w:lsdException w:unhideWhenUsed="0" w:uiPriority="69" w:semiHidden="0" w:name="Medium Grid 3 Accent 2"/>
    <w:lsdException w:qFormat="1"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nhideWhenUsed="0" w:uiPriority="60" w:semiHidden="0" w:name="Light Shading Accent 3"/>
    <w:lsdException w:qFormat="1"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qFormat="1"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qFormat="1" w:unhideWhenUsed="0" w:uiPriority="66" w:semiHidden="0" w:name="Medium List 2 Accent 4"/>
    <w:lsdException w:unhideWhenUsed="0" w:uiPriority="67" w:semiHidden="0" w:name="Medium Grid 1 Accent 4"/>
    <w:lsdException w:unhideWhenUsed="0" w:uiPriority="68" w:semiHidden="0" w:name="Medium Grid 2 Accent 4"/>
    <w:lsdException w:qFormat="1" w:unhideWhenUsed="0" w:uiPriority="69" w:semiHidden="0" w:name="Medium Grid 3 Accent 4"/>
    <w:lsdException w:qFormat="1" w:unhideWhenUsed="0" w:uiPriority="70" w:semiHidden="0" w:name="Dark List Accent 4"/>
    <w:lsdException w:unhideWhenUsed="0" w:uiPriority="71" w:semiHidden="0" w:name="Colorful Shading Accent 4"/>
    <w:lsdException w:qFormat="1" w:unhideWhenUsed="0" w:uiPriority="72" w:semiHidden="0" w:name="Colorful List Accent 4"/>
    <w:lsdException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unhideWhenUsed="0" w:uiPriority="63" w:semiHidden="0" w:name="Medium Shading 1 Accent 5"/>
    <w:lsdException w:qFormat="1"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qFormat="1" w:unhideWhenUsed="0" w:uiPriority="60" w:semiHidden="0" w:name="Light Shading Accent 6"/>
    <w:lsdException w:unhideWhenUsed="0" w:uiPriority="61" w:semiHidden="0" w:name="Light List Accent 6"/>
    <w:lsdException w:unhideWhenUsed="0" w:uiPriority="62" w:semiHidden="0" w:name="Light Grid Accent 6"/>
    <w:lsdException w:qFormat="1" w:unhideWhenUsed="0" w:uiPriority="63" w:semiHidden="0" w:name="Medium Shading 1 Accent 6"/>
    <w:lsdException w:unhideWhenUsed="0" w:uiPriority="64" w:semiHidden="0" w:name="Medium Shading 2 Accent 6"/>
    <w:lsdException w:unhideWhenUsed="0" w:uiPriority="65" w:semiHidden="0" w:name="Medium List 1 Accent 6"/>
    <w:lsdException w:qFormat="1"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qFormat="1"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uiPriority w:val="99"/>
    <w:pPr>
      <w:ind w:left="849" w:hanging="283"/>
      <w:contextualSpacing/>
    </w:pPr>
  </w:style>
  <w:style w:type="paragraph" w:styleId="14">
    <w:name w:val="toc 7"/>
    <w:basedOn w:val="1"/>
    <w:next w:val="1"/>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uiPriority w:val="99"/>
  </w:style>
  <w:style w:type="paragraph" w:styleId="18">
    <w:name w:val="List Bullet 4"/>
    <w:basedOn w:val="1"/>
    <w:uiPriority w:val="1"/>
    <w:pPr>
      <w:numPr>
        <w:ilvl w:val="3"/>
        <w:numId w:val="3"/>
      </w:numPr>
      <w:spacing w:after="240"/>
      <w:contextualSpacing/>
    </w:pPr>
  </w:style>
  <w:style w:type="paragraph" w:styleId="19">
    <w:name w:val="index 8"/>
    <w:basedOn w:val="1"/>
    <w:next w:val="1"/>
    <w:semiHidden/>
    <w:unhideWhenUsed/>
    <w:uiPriority w:val="99"/>
    <w:pPr>
      <w:ind w:left="1440" w:hanging="180"/>
    </w:pPr>
  </w:style>
  <w:style w:type="paragraph" w:styleId="20">
    <w:name w:val="E-mail Signature"/>
    <w:basedOn w:val="1"/>
    <w:link w:val="300"/>
    <w:semiHidden/>
    <w:unhideWhenUsed/>
    <w:uiPriority w:val="99"/>
  </w:style>
  <w:style w:type="paragraph" w:styleId="21">
    <w:name w:val="List Number"/>
    <w:basedOn w:val="1"/>
    <w:semiHidden/>
    <w:unhideWhenUsed/>
    <w:uiPriority w:val="49"/>
    <w:pPr>
      <w:numPr>
        <w:ilvl w:val="0"/>
        <w:numId w:val="4"/>
      </w:numPr>
      <w:contextualSpacing/>
    </w:pPr>
  </w:style>
  <w:style w:type="paragraph" w:styleId="22">
    <w:name w:val="Normal Indent"/>
    <w:basedOn w:val="1"/>
    <w:semiHidden/>
    <w:unhideWhenUsed/>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uiPriority w:val="99"/>
    <w:pPr>
      <w:ind w:left="900" w:hanging="180"/>
    </w:pPr>
  </w:style>
  <w:style w:type="paragraph" w:styleId="25">
    <w:name w:val="List Bullet"/>
    <w:basedOn w:val="1"/>
    <w:uiPriority w:val="1"/>
    <w:pPr>
      <w:numPr>
        <w:ilvl w:val="0"/>
        <w:numId w:val="3"/>
      </w:numPr>
      <w:spacing w:after="240"/>
      <w:contextualSpacing/>
    </w:pPr>
  </w:style>
  <w:style w:type="paragraph" w:styleId="26">
    <w:name w:val="envelope address"/>
    <w:basedOn w:val="1"/>
    <w:semiHidden/>
    <w:unhideWhenUsed/>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uiPriority w:val="99"/>
    <w:rPr>
      <w:rFonts w:ascii="Tahoma" w:hAnsi="Tahoma" w:cs="Tahoma"/>
      <w:sz w:val="16"/>
      <w:szCs w:val="16"/>
    </w:rPr>
  </w:style>
  <w:style w:type="paragraph" w:styleId="28">
    <w:name w:val="toa heading"/>
    <w:basedOn w:val="1"/>
    <w:next w:val="1"/>
    <w:unhideWhenUsed/>
    <w:uiPriority w:val="39"/>
    <w:pPr>
      <w:spacing w:before="120"/>
    </w:pPr>
    <w:rPr>
      <w:rFonts w:ascii="Cambria" w:hAnsi="Cambria" w:eastAsia="Times New Roman"/>
      <w:b/>
      <w:bCs/>
      <w:sz w:val="24"/>
      <w:szCs w:val="24"/>
    </w:rPr>
  </w:style>
  <w:style w:type="paragraph" w:styleId="29">
    <w:name w:val="annotation text"/>
    <w:basedOn w:val="1"/>
    <w:link w:val="296"/>
    <w:unhideWhenUsed/>
    <w:uiPriority w:val="99"/>
    <w:rPr>
      <w:sz w:val="20"/>
      <w:szCs w:val="20"/>
    </w:rPr>
  </w:style>
  <w:style w:type="paragraph" w:styleId="30">
    <w:name w:val="index 6"/>
    <w:basedOn w:val="1"/>
    <w:next w:val="1"/>
    <w:semiHidden/>
    <w:unhideWhenUsed/>
    <w:uiPriority w:val="99"/>
    <w:pPr>
      <w:ind w:left="1080" w:hanging="180"/>
    </w:pPr>
  </w:style>
  <w:style w:type="paragraph" w:styleId="31">
    <w:name w:val="Salutation"/>
    <w:basedOn w:val="1"/>
    <w:next w:val="1"/>
    <w:link w:val="315"/>
    <w:semiHidden/>
    <w:unhideWhenUsed/>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uiPriority w:val="99"/>
    <w:pPr>
      <w:ind w:left="540" w:hanging="180"/>
    </w:pPr>
  </w:style>
  <w:style w:type="paragraph" w:styleId="50">
    <w:name w:val="Date"/>
    <w:basedOn w:val="1"/>
    <w:next w:val="1"/>
    <w:link w:val="298"/>
    <w:semiHidden/>
    <w:unhideWhenUsed/>
    <w:uiPriority w:val="99"/>
  </w:style>
  <w:style w:type="paragraph" w:styleId="51">
    <w:name w:val="Body Text Indent 2"/>
    <w:basedOn w:val="1"/>
    <w:link w:val="292"/>
    <w:semiHidden/>
    <w:unhideWhenUsed/>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uiPriority w:val="49"/>
  </w:style>
  <w:style w:type="character" w:customStyle="1" w:styleId="289">
    <w:name w:val="Body Text First Indent Char"/>
    <w:link w:val="86"/>
    <w:semiHidden/>
    <w:uiPriority w:val="99"/>
    <w:rPr>
      <w:rFonts w:ascii="Verdana" w:hAnsi="Verdana"/>
      <w:sz w:val="18"/>
      <w:szCs w:val="22"/>
      <w:lang w:val="en-GB"/>
    </w:rPr>
  </w:style>
  <w:style w:type="character" w:customStyle="1" w:styleId="290">
    <w:name w:val="Body Text Indent Char"/>
    <w:link w:val="35"/>
    <w:semiHidden/>
    <w:uiPriority w:val="99"/>
    <w:rPr>
      <w:rFonts w:ascii="Verdana" w:hAnsi="Verdana"/>
      <w:sz w:val="18"/>
      <w:szCs w:val="22"/>
      <w:lang w:val="en-GB"/>
    </w:rPr>
  </w:style>
  <w:style w:type="character" w:customStyle="1" w:styleId="291">
    <w:name w:val="Body Text First Indent 2 Char"/>
    <w:link w:val="87"/>
    <w:semiHidden/>
    <w:uiPriority w:val="99"/>
    <w:rPr>
      <w:rFonts w:ascii="Verdana" w:hAnsi="Verdana"/>
      <w:sz w:val="18"/>
      <w:szCs w:val="22"/>
      <w:lang w:val="en-GB"/>
    </w:rPr>
  </w:style>
  <w:style w:type="character" w:customStyle="1" w:styleId="292">
    <w:name w:val="Body Text Indent 2 Char"/>
    <w:link w:val="51"/>
    <w:semiHidden/>
    <w:uiPriority w:val="99"/>
    <w:rPr>
      <w:rFonts w:ascii="Verdana" w:hAnsi="Verdana"/>
      <w:sz w:val="18"/>
      <w:szCs w:val="22"/>
      <w:lang w:val="en-GB"/>
    </w:rPr>
  </w:style>
  <w:style w:type="character" w:customStyle="1" w:styleId="293">
    <w:name w:val="Body Text Indent 3 Char"/>
    <w:link w:val="70"/>
    <w:semiHidden/>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uiPriority w:val="99"/>
    <w:rPr>
      <w:rFonts w:ascii="Verdana" w:hAnsi="Verdana"/>
      <w:sz w:val="18"/>
      <w:szCs w:val="22"/>
      <w:lang w:val="en-GB"/>
    </w:rPr>
  </w:style>
  <w:style w:type="character" w:customStyle="1" w:styleId="296">
    <w:name w:val="Comment Text Char"/>
    <w:link w:val="29"/>
    <w:uiPriority w:val="99"/>
    <w:rPr>
      <w:rFonts w:ascii="Verdana" w:hAnsi="Verdana"/>
      <w:lang w:val="en-GB"/>
    </w:rPr>
  </w:style>
  <w:style w:type="character" w:customStyle="1" w:styleId="297">
    <w:name w:val="Comment Subject Char"/>
    <w:link w:val="85"/>
    <w:uiPriority w:val="99"/>
    <w:rPr>
      <w:rFonts w:ascii="Verdana" w:hAnsi="Verdana"/>
      <w:b/>
      <w:bCs/>
      <w:lang w:val="en-GB"/>
    </w:rPr>
  </w:style>
  <w:style w:type="character" w:customStyle="1" w:styleId="298">
    <w:name w:val="Date Char"/>
    <w:link w:val="50"/>
    <w:semiHidden/>
    <w:uiPriority w:val="99"/>
    <w:rPr>
      <w:rFonts w:ascii="Verdana" w:hAnsi="Verdana"/>
      <w:sz w:val="18"/>
      <w:szCs w:val="22"/>
      <w:lang w:val="en-GB"/>
    </w:rPr>
  </w:style>
  <w:style w:type="character" w:customStyle="1" w:styleId="299">
    <w:name w:val="Document Map Char"/>
    <w:link w:val="27"/>
    <w:semiHidden/>
    <w:uiPriority w:val="99"/>
    <w:rPr>
      <w:rFonts w:ascii="Tahoma" w:hAnsi="Tahoma" w:cs="Tahoma"/>
      <w:sz w:val="16"/>
      <w:szCs w:val="16"/>
      <w:lang w:val="en-GB"/>
    </w:rPr>
  </w:style>
  <w:style w:type="character" w:customStyle="1" w:styleId="300">
    <w:name w:val="E-mail Signature Char"/>
    <w:link w:val="20"/>
    <w:semiHidden/>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E8CE8598-CBE8-4D6A-A9FB-59FB0E998836}">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367</Words>
  <Characters>2243</Characters>
  <Lines>22</Lines>
  <Paragraphs>6</Paragraphs>
  <TotalTime>0</TotalTime>
  <ScaleCrop>false</ScaleCrop>
  <LinksUpToDate>false</LinksUpToDate>
  <CharactersWithSpaces>2573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2025-06-16T10:21:00Z</dcterms:created>
  <dc:creator>mark louie medidas</dc:creator>
  <dc:description>LDIMD - DTU</dc:description>
  <cp:lastModifiedBy> 譞譞</cp:lastModifiedBy>
  <dcterms:modified xsi:type="dcterms:W3CDTF">2025-07-09T14:21:30Z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1A8355E6E473477A99C363EC416346DD_12</vt:lpwstr>
  </property>
</Properties>
</file>