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p>
          <w:p w14:paraId="703C8515">
            <w:r>
              <w:t>Fax: +(32) 2299 8043,</w:t>
            </w:r>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[X],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Railway interoperability constituents, subsystems and vehicles.</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5FF1E503">
            <w:pPr>
              <w:spacing w:before="120" w:after="120"/>
            </w:pPr>
            <w:r>
              <w:rPr>
                <w:b/>
              </w:rPr>
              <w:t>Title, number of pages and language(s) of the notified document:</w:t>
            </w:r>
            <w:r>
              <w:t xml:space="preserve"> Draft Commission Implementing Regulation amending Implementing Regulation (EU) 2023/1695 ('CCS TSI') as regards new testing specifications, reduced envelopes of ETCS system versions and transitional measures; (4 page(s), in English), (234 page(s), in English), (9 page(s), in English)</w:t>
            </w: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10561CB">
            <w:pPr>
              <w:spacing w:before="120" w:after="120"/>
              <w:rPr>
                <w:b/>
              </w:rPr>
            </w:pPr>
            <w:r>
              <w:rPr>
                <w:b/>
              </w:rPr>
              <w:t>Description of content:</w:t>
            </w:r>
            <w:r>
              <w:t xml:space="preserve"> This draft Commission Implementing Regulation concerns an amendment to Commission Regulation: (EU) 2023/1695 on the technical specification for interoperability relating to the control-command and signalling subsystems of the rail system in the European Union and repealing Regulation (EU) 2016/919 ('CCS TSI') in order to introduce the necessary technical documents that define the testing procedures for the equipment to check the compliance with the new ETCS (European Train Control System) and ATO (automated train operations) specifications developed in 2023. The amendment also aims at providing more legal clarity to the transition regimes to keep the railway sector competitive to prevent undue costs affecting the sector because of the changes made to the technical specifications for interoperability (TSI) command-control signalling (CCS) in 2023.</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09AF501">
            <w:pPr>
              <w:spacing w:before="120" w:after="120"/>
              <w:rPr>
                <w:b/>
              </w:rPr>
            </w:pPr>
            <w:r>
              <w:rPr>
                <w:b/>
              </w:rPr>
              <w:t>Objective and rationale, including the nature of urgent problems where applicable:</w:t>
            </w:r>
            <w:r>
              <w:t xml:space="preserve"> To contribute to the interoperability of the rail system within the European Union. This will facilitate, improve and help develop international rail transport services within the European Union and with third countries. This will also contribute to the development of an EU-wide market in railway equipment and services; ; Harmonization; Reducing trade barriers and facilitating trade</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1A190ED8">
            <w:pPr>
              <w:spacing w:before="120" w:after="120"/>
              <w:rPr>
                <w:bCs/>
              </w:rPr>
            </w:pPr>
            <w:r>
              <w:rPr>
                <w:b/>
              </w:rPr>
              <w:t>Relevant documents:</w:t>
            </w:r>
            <w:r>
              <w:t xml:space="preserve"> </w:t>
            </w:r>
          </w:p>
          <w:p w14:paraId="272CAFFB">
            <w:pPr>
              <w:spacing w:before="120" w:after="120"/>
            </w:pPr>
            <w:r>
              <w:t>Directive (EU) 2016/797 on the interoperability of the rail system within the European Union</w:t>
            </w:r>
          </w:p>
          <w:p w14:paraId="7039F711">
            <w:pPr>
              <w:spacing w:before="120" w:after="120"/>
            </w:pPr>
            <w:r>
              <w:fldChar w:fldCharType="begin"/>
            </w:r>
            <w:r>
              <w:instrText xml:space="preserve"> HYPERLINK "https://eur-lex.europa.eu/legal-content/EN/TXT/?uri=CELEX%3A32016L0797&amp;qid=1725003600789" </w:instrText>
            </w:r>
            <w:r>
              <w:fldChar w:fldCharType="separate"/>
            </w:r>
            <w:r>
              <w:rPr>
                <w:color w:val="0000FF"/>
                <w:u w:val="single"/>
              </w:rPr>
              <w:t>Directive - 2016/797 - EN - EUR-Lex (europa.eu)</w:t>
            </w:r>
            <w:r>
              <w:rPr>
                <w:color w:val="0000FF"/>
                <w:u w:val="single"/>
              </w:rPr>
              <w:fldChar w:fldCharType="end"/>
            </w:r>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29407F7">
            <w:pPr>
              <w:spacing w:before="120" w:after="120"/>
            </w:pPr>
            <w:r>
              <w:rPr>
                <w:b/>
              </w:rPr>
              <w:t>Proposed date of adoption:</w:t>
            </w:r>
            <w:r>
              <w:t xml:space="preserve"> End of 2025</w:t>
            </w:r>
          </w:p>
          <w:p w14:paraId="040250F9">
            <w:pPr>
              <w:spacing w:after="120"/>
            </w:pPr>
            <w:r>
              <w:rPr>
                <w:b/>
              </w:rPr>
              <w:t>Proposed date of entry into force:</w:t>
            </w:r>
            <w:r>
              <w:t xml:space="preserve"> 20 days from publication in the Official Journal of the EU</w:t>
            </w:r>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803F3C1">
            <w:pPr>
              <w:tabs>
                <w:tab w:val="left" w:pos="1418"/>
                <w:tab w:val="left" w:pos="2127"/>
                <w:tab w:val="left" w:pos="2835"/>
                <w:tab w:val="left" w:pos="3402"/>
              </w:tabs>
              <w:spacing w:before="120" w:after="120"/>
              <w:rPr>
                <w:b/>
                <w:bCs/>
              </w:rPr>
            </w:pPr>
            <w:r>
              <w:rPr>
                <w:b/>
              </w:rPr>
              <w:t>Final date for comments:</w:t>
            </w:r>
            <w:r>
              <w:t xml:space="preserve"> 7 September 2025</w:t>
            </w:r>
            <w:r>
              <w:rPr>
                <w:rFonts w:hint="eastAsia" w:eastAsia="宋体"/>
                <w:lang w:eastAsia="zh-CN"/>
              </w:rPr>
              <w:t>，</w:t>
            </w:r>
            <w:r>
              <w:rPr>
                <w:b/>
                <w:bCs/>
              </w:rPr>
              <w:t>[X] 60 days from notification</w:t>
            </w:r>
            <w:r>
              <w:t xml:space="preserve"> </w:t>
            </w:r>
          </w:p>
          <w:p w14:paraId="7AFFA533">
            <w:pPr>
              <w:spacing w:before="120" w:after="120"/>
              <w:rPr>
                <w:rFonts w:hint="eastAsia" w:eastAsia="宋体"/>
                <w:lang w:eastAsia="zh-CN"/>
              </w:rPr>
            </w:pPr>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C8A8BD">
            <w:pPr>
              <w:rPr>
                <w:rFonts w:hint="eastAsia" w:eastAsia="宋体"/>
                <w:iCs/>
                <w:lang w:eastAsia="zh-CN"/>
              </w:rPr>
            </w:pPr>
            <w:r>
              <w:rPr>
                <w:iCs/>
              </w:rPr>
              <w:t>European Commission</w:t>
            </w:r>
            <w:r>
              <w:rPr>
                <w:rFonts w:hint="eastAsia" w:eastAsia="宋体"/>
                <w:iCs/>
                <w:lang w:eastAsia="zh-CN"/>
              </w:rPr>
              <w:t>，</w:t>
            </w:r>
          </w:p>
          <w:p w14:paraId="41FE15EE">
            <w:pPr>
              <w:rPr>
                <w:rFonts w:hint="eastAsia" w:eastAsia="宋体"/>
                <w:iCs/>
                <w:lang w:eastAsia="zh-CN"/>
              </w:rPr>
            </w:pPr>
            <w:r>
              <w:rPr>
                <w:iCs/>
              </w:rPr>
              <w:t>EU-TBT Enquiry Point</w:t>
            </w:r>
            <w:r>
              <w:rPr>
                <w:rFonts w:hint="eastAsia" w:eastAsia="宋体"/>
                <w:iCs/>
                <w:lang w:eastAsia="zh-CN"/>
              </w:rPr>
              <w:t>，</w:t>
            </w:r>
          </w:p>
          <w:p w14:paraId="4B9C18F0">
            <w:pPr>
              <w:rPr>
                <w:rFonts w:hint="eastAsia" w:eastAsia="宋体"/>
                <w:iCs/>
                <w:lang w:eastAsia="zh-CN"/>
              </w:rPr>
            </w:pPr>
            <w:r>
              <w:rPr>
                <w:iCs/>
              </w:rPr>
              <w:t>Fax: + (32) 2299 8043</w:t>
            </w:r>
            <w:r>
              <w:rPr>
                <w:rFonts w:hint="eastAsia" w:eastAsia="宋体"/>
                <w:iCs/>
                <w:lang w:eastAsia="zh-CN"/>
              </w:rPr>
              <w:t>，</w:t>
            </w:r>
          </w:p>
          <w:p w14:paraId="3E7581FC">
            <w:pPr>
              <w:rPr>
                <w:iCs/>
              </w:rPr>
            </w:pPr>
            <w:r>
              <w:rPr>
                <w:iCs/>
              </w:rPr>
              <w:t xml:space="preserve">E-mail: </w:t>
            </w:r>
            <w:r>
              <w:fldChar w:fldCharType="begin"/>
            </w:r>
            <w:r>
              <w:instrText xml:space="preserve"> HYPERLINK "mailto:grow-eu-tbt@ec.europa.eu" </w:instrText>
            </w:r>
            <w:r>
              <w:fldChar w:fldCharType="separate"/>
            </w:r>
            <w:r>
              <w:rPr>
                <w:iCs/>
                <w:color w:val="0000FF"/>
                <w:u w:val="single"/>
              </w:rPr>
              <w:t>grow-eu-tbt@ec.europa.eu</w:t>
            </w:r>
            <w:r>
              <w:rPr>
                <w:iCs/>
                <w:color w:val="0000FF"/>
                <w:u w:val="single"/>
              </w:rPr>
              <w:fldChar w:fldCharType="end"/>
            </w:r>
          </w:p>
          <w:p w14:paraId="5EDEBAA0">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3B53E9AC">
            <w:pPr>
              <w:pBdr>
                <w:top w:val="none" w:color="auto" w:sz="0" w:space="4"/>
                <w:bottom w:val="none" w:color="auto" w:sz="0" w:space="4"/>
              </w:pBdr>
              <w:rPr>
                <w:iCs/>
                <w:color w:val="0000FF"/>
                <w:u w:val="single"/>
              </w:rPr>
            </w:pPr>
          </w:p>
          <w:p w14:paraId="1B80AC7B">
            <w:pPr>
              <w:pBdr>
                <w:top w:val="none" w:color="auto" w:sz="0" w:space="4"/>
              </w:pBdr>
              <w:rPr>
                <w:iCs/>
              </w:rPr>
            </w:pPr>
            <w:r>
              <w:fldChar w:fldCharType="begin"/>
            </w:r>
            <w:r>
              <w:instrText xml:space="preserve"> HYPERLINK "https://members.wto.org/crnattachments/2025/TBT/EEC/25_04551_00_e.pdf" \t "_blank" </w:instrText>
            </w:r>
            <w:r>
              <w:fldChar w:fldCharType="separate"/>
            </w:r>
            <w:r>
              <w:rPr>
                <w:iCs/>
                <w:color w:val="0000FF"/>
                <w:u w:val="single"/>
              </w:rPr>
              <w:t>https://members.wto.org/crnattachments/2025/TBT/EEC/25_04551_00_e.pdf</w:t>
            </w:r>
            <w:r>
              <w:rPr>
                <w:iCs/>
                <w:color w:val="0000FF"/>
                <w:u w:val="single"/>
              </w:rPr>
              <w:fldChar w:fldCharType="end"/>
            </w:r>
          </w:p>
          <w:p w14:paraId="32659971">
            <w:pPr>
              <w:rPr>
                <w:iCs/>
              </w:rPr>
            </w:pPr>
            <w:r>
              <w:fldChar w:fldCharType="begin"/>
            </w:r>
            <w:r>
              <w:instrText xml:space="preserve"> HYPERLINK "https://members.wto.org/crnattachments/2025/TBT/EEC/25_04551_01_e.pdf" \t "_blank" </w:instrText>
            </w:r>
            <w:r>
              <w:fldChar w:fldCharType="separate"/>
            </w:r>
            <w:r>
              <w:rPr>
                <w:iCs/>
                <w:color w:val="0000FF"/>
                <w:u w:val="single"/>
              </w:rPr>
              <w:t>https://members.wto.org/crnattachments/2025/TBT/EEC/25_04551_01_e.pdf</w:t>
            </w:r>
            <w:r>
              <w:rPr>
                <w:iCs/>
                <w:color w:val="0000FF"/>
                <w:u w:val="single"/>
              </w:rPr>
              <w:fldChar w:fldCharType="end"/>
            </w:r>
          </w:p>
          <w:p w14:paraId="7EBC44B6">
            <w:pPr>
              <w:pBdr>
                <w:bottom w:val="none" w:color="auto" w:sz="0" w:space="4"/>
              </w:pBdr>
              <w:rPr>
                <w:iCs/>
              </w:rPr>
            </w:pPr>
            <w:r>
              <w:fldChar w:fldCharType="begin"/>
            </w:r>
            <w:r>
              <w:instrText xml:space="preserve"> HYPERLINK "https://members.wto.org/crnattachments/2025/TBT/EEC/25_04551_02_e.pdf" \t "_blank" </w:instrText>
            </w:r>
            <w:r>
              <w:fldChar w:fldCharType="separate"/>
            </w:r>
            <w:r>
              <w:rPr>
                <w:iCs/>
                <w:color w:val="0000FF"/>
                <w:u w:val="single"/>
              </w:rPr>
              <w:t>https://members.wto.org/crnattachments/2025/TBT/EEC/25_04551_02_e.pdf</w:t>
            </w:r>
            <w:r>
              <w:rPr>
                <w:iCs/>
                <w:color w:val="0000FF"/>
                <w:u w:val="single"/>
              </w:rPr>
              <w:fldChar w:fldCharType="end"/>
            </w:r>
          </w:p>
          <w:p w14:paraId="50D64A99">
            <w:pPr>
              <w:keepNext/>
              <w:keepLines/>
              <w:pBdr>
                <w:top w:val="none" w:color="auto" w:sz="0" w:space="4"/>
              </w:pBdr>
              <w:spacing w:after="120"/>
              <w:rPr>
                <w:bCs/>
              </w:rPr>
            </w:pPr>
          </w:p>
        </w:tc>
      </w:tr>
    </w:tbl>
    <w:p w14:paraId="04010BB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rPr>
        <w:rFonts w:hint="eastAsia" w:eastAsia="宋体"/>
        <w:lang w:eastAsia="zh-CN"/>
      </w:rPr>
    </w:pPr>
    <w:bookmarkStart w:id="9" w:name="spsSymbolHeader"/>
    <w:r>
      <w:t>G/TBT/N/EU/114</w:t>
    </w:r>
    <w:bookmarkEnd w:id="9"/>
    <w:r>
      <w:rPr>
        <w:rFonts w:hint="eastAsia" w:eastAsia="宋体"/>
        <w:lang w:val="en-US" w:eastAsia="zh-CN"/>
      </w:rPr>
      <w:t>3</w:t>
    </w:r>
    <w:bookmarkStart w:id="10" w:name="_GoBack"/>
    <w:bookmarkEnd w:id="10"/>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0"/>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eastAsia" w:eastAsia="宋体"/>
              <w:b/>
              <w:szCs w:val="16"/>
              <w:lang w:eastAsia="zh-CN"/>
            </w:rPr>
          </w:pPr>
          <w:bookmarkStart w:id="1" w:name="bmkSymbols"/>
          <w:r>
            <w:rPr>
              <w:b/>
              <w:szCs w:val="16"/>
            </w:rPr>
            <w:t>G/TBT/N/EU/114</w:t>
          </w:r>
          <w:bookmarkEnd w:id="1"/>
          <w:r>
            <w:rPr>
              <w:rFonts w:hint="eastAsia" w:eastAsia="宋体"/>
              <w:b/>
              <w:szCs w:val="16"/>
              <w:lang w:val="en-US" w:eastAsia="zh-CN"/>
            </w:rPr>
            <w:t>3</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2" w:name="bmkDate"/>
          <w:bookmarkStart w:id="3" w:name="spsDateDistribution"/>
          <w:r>
            <w:rPr>
              <w:szCs w:val="16"/>
            </w:rPr>
            <w:t>9 July 2025</w:t>
          </w:r>
          <w:bookmarkEnd w:id="2"/>
          <w:bookmarkEnd w:id="3"/>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4" w:name="bmkSerial"/>
          <w:r>
            <w:rPr>
              <w:b w:val="0"/>
              <w:color w:val="FF0000"/>
            </w:rPr>
            <w:t>(25-</w:t>
          </w:r>
          <w:r>
            <w:rPr>
              <w:rFonts w:hint="eastAsia" w:eastAsia="宋体"/>
              <w:b w:val="0"/>
              <w:color w:val="FF0000"/>
              <w:lang w:val="en-US" w:eastAsia="zh-CN"/>
            </w:rPr>
            <w:t>4441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05ADBB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31A21B58"/>
    <w:rsid w:val="553158DD"/>
    <w:rsid w:val="558F0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qFormat="1"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uiPriority="99" w:name="Normal Indent"/>
    <w:lsdException w:unhideWhenUsed="0" w:uiPriority="5" w:semiHidden="0" w:name="footnote text"/>
    <w:lsdException w:qFormat="1" w:uiPriority="99" w:semiHidden="0" w:name="annotation text"/>
    <w:lsdException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uiPriority="99" w:name="List 4"/>
    <w:lsdException w:qFormat="1" w:uiPriority="99" w:name="List 5"/>
    <w:lsdException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qFormat="1" w:uiPriority="99" w:name="List Continue 2"/>
    <w:lsdException w:qFormat="1" w:uiPriority="99" w:name="List Continue 3"/>
    <w:lsdException w:qFormat="1" w:uiPriority="99" w:name="List Continue 4"/>
    <w:lsdException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uiPriority="99" w:name="Normal (Web)"/>
    <w:lsdException w:qFormat="1" w:uiPriority="99" w:name="HTML Acronym"/>
    <w:lsdException w:qFormat="1" w:uiPriority="99" w:name="HTML Address"/>
    <w:lsdException w:uiPriority="99" w:name="HTML Cite"/>
    <w:lsdException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qFormat="1" w:uiPriority="99" w:name="Table Simple 2"/>
    <w:lsdException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uiPriority="99" w:name="Table Columns 2"/>
    <w:lsdException w:uiPriority="99" w:name="Table Columns 3"/>
    <w:lsdException w:qFormat="1" w:uiPriority="99" w:name="Table Columns 4"/>
    <w:lsdException w:uiPriority="99" w:name="Table Columns 5"/>
    <w:lsdException w:uiPriority="99" w:name="Table Grid 1"/>
    <w:lsdException w:qFormat="1" w:uiPriority="99" w:name="Table Grid 2"/>
    <w:lsdException w:uiPriority="99" w:name="Table Grid 3"/>
    <w:lsdException w:qFormat="1" w:uiPriority="99" w:name="Table Grid 4"/>
    <w:lsdException w:qFormat="1" w:uiPriority="99" w:name="Table Grid 5"/>
    <w:lsdException w:qFormat="1" w:uiPriority="99" w:name="Table Grid 6"/>
    <w:lsdException w:qFormat="1" w:uiPriority="99" w:name="Table Grid 7"/>
    <w:lsdException w:uiPriority="99" w:name="Table Grid 8"/>
    <w:lsdException w:qFormat="1" w:uiPriority="99" w:name="Table List 1"/>
    <w:lsdException w:qFormat="1" w:uiPriority="99" w:name="Table List 2"/>
    <w:lsdException w:uiPriority="99" w:name="Table List 3"/>
    <w:lsdException w:qFormat="1" w:uiPriority="99" w:name="Table List 4"/>
    <w:lsdException w:uiPriority="99" w:name="Table List 5"/>
    <w:lsdException w:qFormat="1" w:uiPriority="99" w:name="Table List 6"/>
    <w:lsdException w:uiPriority="99" w:name="Table List 7"/>
    <w:lsdException w:uiPriority="99" w:name="Table List 8"/>
    <w:lsdException w:qFormat="1" w:uiPriority="99" w:name="Table 3D effects 1"/>
    <w:lsdException w:qFormat="1" w:uiPriority="99" w:name="Table 3D effects 2"/>
    <w:lsdException w:qFormat="1" w:uiPriority="99" w:name="Table 3D effects 3"/>
    <w:lsdException w:uiPriority="99" w:name="Table Contemporary"/>
    <w:lsdException w:uiPriority="99" w:name="Table Elegant"/>
    <w:lsdException w:uiPriority="99" w:name="Table Professional"/>
    <w:lsdException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420</Words>
  <Characters>2474</Characters>
  <Lines>21</Lines>
  <Paragraphs>6</Paragraphs>
  <TotalTime>0</TotalTime>
  <ScaleCrop>false</ScaleCrop>
  <LinksUpToDate>false</LinksUpToDate>
  <CharactersWithSpaces>2857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2025-07-09T14:30:44Z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