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bookmarkStart w:id="10" w:name="_GoBack"/>
            <w:bookmarkEnd w:id="10"/>
          </w:p>
          <w:p w14:paraId="703C8515">
            <w:r>
              <w:t>Fax: +(32) 2299 8043,</w:t>
            </w:r>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 ],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Children's toys, i.e. products designed or intended, whether or not exclusively, for use in play by children under 14 years of age.</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5FF1E503">
            <w:pPr>
              <w:spacing w:before="120" w:after="120"/>
            </w:pPr>
            <w:r>
              <w:rPr>
                <w:b/>
              </w:rPr>
              <w:t>Title, number of pages and language(s) of the notified document:</w:t>
            </w:r>
            <w:r>
              <w:t xml:space="preserve"> Draft Commission Directive amending Appendix A of Annex II to Directive 2009/48/EC of the European Parliament and of the Council on the safety of toys, as regards cobalt; (6 page(s), in English)</w:t>
            </w: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5BBE9BA">
            <w:pPr>
              <w:spacing w:before="120" w:after="120"/>
              <w:rPr>
                <w:b/>
              </w:rPr>
            </w:pPr>
            <w:r>
              <w:rPr>
                <w:b/>
              </w:rPr>
              <w:t>Description of content:</w:t>
            </w:r>
            <w:r>
              <w:t xml:space="preserve"> Inclusion, in Appendix A to Annex II of Directive 2009/48/EC (List of CMR substances and their permitted uses in accordance with points 4, 5 and 6 of Part III) of three entries (derogations) for:</w:t>
            </w:r>
          </w:p>
          <w:p w14:paraId="5502635B">
            <w:pPr>
              <w:numPr>
                <w:ilvl w:val="0"/>
                <w:numId w:val="7"/>
              </w:numPr>
              <w:spacing w:before="120" w:after="120"/>
            </w:pPr>
            <w:r>
              <w:t>In toys and toy components made of stainless steel, as an impurity in the nickel contained in the stainless steel.</w:t>
            </w:r>
          </w:p>
          <w:p w14:paraId="57AA6B48">
            <w:pPr>
              <w:numPr>
                <w:ilvl w:val="0"/>
                <w:numId w:val="7"/>
              </w:numPr>
              <w:spacing w:before="120" w:after="120"/>
            </w:pPr>
            <w:r>
              <w:t>In toy components which are intended to conduct an electric current.</w:t>
            </w:r>
          </w:p>
          <w:p w14:paraId="510561CB">
            <w:pPr>
              <w:spacing w:before="120" w:after="120"/>
              <w:rPr>
                <w:b/>
              </w:rPr>
            </w:pPr>
            <w:r>
              <w:t>In neodymium-based magnets (NdFeB magnets) used in toys if those magnets cannot be swallowed or inhaled</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09AF501">
            <w:pPr>
              <w:spacing w:before="120" w:after="120"/>
              <w:rPr>
                <w:b/>
              </w:rPr>
            </w:pPr>
            <w:r>
              <w:rPr>
                <w:b/>
              </w:rPr>
              <w:t>Objective and rationale, including the nature of urgent problems where applicable:</w:t>
            </w:r>
            <w:r>
              <w:t xml:space="preserve"> Protection of human health and safety, in particular protection of children's health against hazardous chemical substances classified as carcinogenic, mutagenic or toxic for reproduction.; Protection of human health or safety</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1A190ED8">
            <w:pPr>
              <w:spacing w:before="120" w:after="120"/>
              <w:rPr>
                <w:bCs/>
              </w:rPr>
            </w:pPr>
            <w:r>
              <w:rPr>
                <w:b/>
              </w:rPr>
              <w:t>Relevant documents:</w:t>
            </w:r>
            <w:r>
              <w:t xml:space="preserve"> </w:t>
            </w:r>
          </w:p>
          <w:p w14:paraId="19438A29">
            <w:pPr>
              <w:spacing w:before="120" w:after="120"/>
            </w:pPr>
            <w:r>
              <w:t xml:space="preserve">Directive 2009/48/EC of the European Parliament and of the Council of 18 June 2009 on the safety of toys, OJ L 170, 30.6.2009, p. 1 - </w:t>
            </w:r>
            <w:r>
              <w:fldChar w:fldCharType="begin"/>
            </w:r>
            <w:r>
              <w:instrText xml:space="preserve"> HYPERLINK "http://eur-lex.europa.eu/legal-content/EN/TXT/?uri=CELEX:02009L0048-20140721" </w:instrText>
            </w:r>
            <w:r>
              <w:fldChar w:fldCharType="separate"/>
            </w:r>
            <w:r>
              <w:rPr>
                <w:color w:val="0000FF"/>
                <w:u w:val="single"/>
              </w:rPr>
              <w:t>http://eur-lex.europa.eu/legal-content/EN/TXT/?uri=CELEX:02009L0048-20140721</w:t>
            </w:r>
            <w:r>
              <w:rPr>
                <w:color w:val="0000FF"/>
                <w:u w:val="single"/>
              </w:rPr>
              <w:fldChar w:fldCharType="end"/>
            </w:r>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29407F7">
            <w:pPr>
              <w:spacing w:before="120" w:after="120"/>
            </w:pPr>
            <w:r>
              <w:rPr>
                <w:b/>
              </w:rPr>
              <w:t>Proposed date of adoption:</w:t>
            </w:r>
            <w:r>
              <w:t xml:space="preserve"> Last quarter of 2025</w:t>
            </w:r>
          </w:p>
          <w:p w14:paraId="040250F9">
            <w:pPr>
              <w:spacing w:after="120"/>
            </w:pPr>
            <w:r>
              <w:rPr>
                <w:b/>
              </w:rPr>
              <w:t>Proposed date of entry into force:</w:t>
            </w:r>
            <w:r>
              <w:t xml:space="preserve"> Last quarter of 2025</w:t>
            </w:r>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803F3C1">
            <w:pPr>
              <w:tabs>
                <w:tab w:val="left" w:pos="1418"/>
                <w:tab w:val="left" w:pos="2127"/>
                <w:tab w:val="left" w:pos="2835"/>
                <w:tab w:val="left" w:pos="3402"/>
              </w:tabs>
              <w:spacing w:before="120" w:after="120"/>
              <w:rPr>
                <w:b/>
                <w:bCs/>
              </w:rPr>
            </w:pPr>
            <w:r>
              <w:rPr>
                <w:b/>
              </w:rPr>
              <w:t>Final date for comments:</w:t>
            </w:r>
            <w:r>
              <w:t xml:space="preserve"> 7 September 2025</w:t>
            </w:r>
            <w:r>
              <w:rPr>
                <w:rFonts w:hint="eastAsia" w:eastAsia="宋体"/>
                <w:lang w:eastAsia="zh-CN"/>
              </w:rPr>
              <w:t>，</w:t>
            </w:r>
            <w:r>
              <w:rPr>
                <w:b/>
                <w:bCs/>
              </w:rPr>
              <w:t>[X] 60 days from notification</w:t>
            </w:r>
            <w:r>
              <w:t xml:space="preserve"> </w:t>
            </w:r>
          </w:p>
          <w:p w14:paraId="7AFFA533">
            <w:pPr>
              <w:spacing w:before="120" w:after="120"/>
              <w:rPr>
                <w:rFonts w:hint="eastAsia" w:eastAsia="宋体"/>
                <w:lang w:eastAsia="zh-CN"/>
              </w:rPr>
            </w:pPr>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C8A8BD">
            <w:pPr>
              <w:rPr>
                <w:iCs/>
              </w:rPr>
            </w:pPr>
            <w:r>
              <w:rPr>
                <w:iCs/>
              </w:rPr>
              <w:t>European Commission</w:t>
            </w:r>
          </w:p>
          <w:p w14:paraId="41FE15EE">
            <w:pPr>
              <w:rPr>
                <w:iCs/>
              </w:rPr>
            </w:pPr>
            <w:r>
              <w:rPr>
                <w:iCs/>
              </w:rPr>
              <w:t>EU-TBT Enquiry Point</w:t>
            </w:r>
          </w:p>
          <w:p w14:paraId="4B9C18F0">
            <w:pPr>
              <w:rPr>
                <w:iCs/>
              </w:rPr>
            </w:pPr>
            <w:r>
              <w:rPr>
                <w:iCs/>
              </w:rPr>
              <w:t>Fax: + (32) 2299 8043</w:t>
            </w:r>
          </w:p>
          <w:p w14:paraId="3E7581FC">
            <w:pPr>
              <w:rPr>
                <w:iCs/>
              </w:rPr>
            </w:pPr>
            <w:r>
              <w:rPr>
                <w:iCs/>
              </w:rPr>
              <w:t xml:space="preserve">E-mail: </w:t>
            </w:r>
            <w:r>
              <w:fldChar w:fldCharType="begin"/>
            </w:r>
            <w:r>
              <w:instrText xml:space="preserve"> HYPERLINK "mailto:grow-eu-tbt@ec.europa.eu" </w:instrText>
            </w:r>
            <w:r>
              <w:fldChar w:fldCharType="separate"/>
            </w:r>
            <w:r>
              <w:rPr>
                <w:iCs/>
                <w:color w:val="0000FF"/>
                <w:u w:val="single"/>
              </w:rPr>
              <w:t>grow-eu-tbt@ec.europa.eu</w:t>
            </w:r>
            <w:r>
              <w:rPr>
                <w:iCs/>
                <w:color w:val="0000FF"/>
                <w:u w:val="single"/>
              </w:rPr>
              <w:fldChar w:fldCharType="end"/>
            </w:r>
          </w:p>
          <w:p w14:paraId="5EDEBAA0">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3B53E9AC">
            <w:pPr>
              <w:pBdr>
                <w:top w:val="none" w:color="auto" w:sz="0" w:space="4"/>
                <w:bottom w:val="none" w:color="auto" w:sz="0" w:space="4"/>
              </w:pBdr>
              <w:rPr>
                <w:iCs/>
                <w:color w:val="0000FF"/>
                <w:u w:val="single"/>
              </w:rPr>
            </w:pPr>
          </w:p>
          <w:p w14:paraId="438328FF">
            <w:pPr>
              <w:pBdr>
                <w:top w:val="none" w:color="auto" w:sz="0" w:space="4"/>
                <w:bottom w:val="none" w:color="auto" w:sz="0" w:space="4"/>
              </w:pBdr>
              <w:rPr>
                <w:iCs/>
              </w:rPr>
            </w:pPr>
            <w:r>
              <w:fldChar w:fldCharType="begin"/>
            </w:r>
            <w:r>
              <w:instrText xml:space="preserve"> HYPERLINK "https://members.wto.org/crnattachments/2025/TBT/EEC/25_04548_00_e.pdf" \t "_blank" </w:instrText>
            </w:r>
            <w:r>
              <w:fldChar w:fldCharType="separate"/>
            </w:r>
            <w:r>
              <w:rPr>
                <w:iCs/>
                <w:color w:val="0000FF"/>
                <w:u w:val="single"/>
              </w:rPr>
              <w:t>https://members.wto.org/crnattachments/2025/TBT/EEC/25_04548_00_e.pdf</w:t>
            </w:r>
            <w:r>
              <w:rPr>
                <w:iCs/>
                <w:color w:val="0000FF"/>
                <w:u w:val="single"/>
              </w:rPr>
              <w:fldChar w:fldCharType="end"/>
            </w:r>
          </w:p>
          <w:p w14:paraId="22560629">
            <w:pPr>
              <w:keepNext/>
              <w:keepLines/>
              <w:pBdr>
                <w:top w:val="none" w:color="auto" w:sz="0" w:space="4"/>
              </w:pBdr>
              <w:spacing w:after="120"/>
              <w:rPr>
                <w:bCs/>
              </w:rPr>
            </w:pPr>
          </w:p>
        </w:tc>
      </w:tr>
    </w:tbl>
    <w:p w14:paraId="04010BB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pPr>
    <w:bookmarkStart w:id="0" w:name="spsSymbolHeader"/>
    <w:r>
      <w:t>G/TBT/N/EU/1141</w:t>
    </w:r>
    <w:bookmarkEnd w:id="0"/>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1"/>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eastAsia" w:eastAsia="宋体"/>
              <w:b/>
              <w:szCs w:val="16"/>
              <w:lang w:eastAsia="zh-CN"/>
            </w:rPr>
          </w:pPr>
          <w:bookmarkStart w:id="2" w:name="bmkSymbols"/>
          <w:r>
            <w:rPr>
              <w:b/>
              <w:szCs w:val="16"/>
            </w:rPr>
            <w:t>G/TBT/N/EU/114</w:t>
          </w:r>
          <w:bookmarkEnd w:id="2"/>
          <w:r>
            <w:rPr>
              <w:rFonts w:hint="eastAsia" w:eastAsia="宋体"/>
              <w:b/>
              <w:szCs w:val="16"/>
              <w:lang w:val="en-US" w:eastAsia="zh-CN"/>
            </w:rPr>
            <w:t>2</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3" w:name="bmkDate"/>
          <w:bookmarkStart w:id="4" w:name="spsDateDistribution"/>
          <w:r>
            <w:rPr>
              <w:szCs w:val="16"/>
            </w:rPr>
            <w:t>9 July 2025</w:t>
          </w:r>
          <w:bookmarkEnd w:id="3"/>
          <w:bookmarkEnd w:id="4"/>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5" w:name="bmkSerial"/>
          <w:r>
            <w:rPr>
              <w:b w:val="0"/>
              <w:color w:val="FF0000"/>
            </w:rPr>
            <w:t>(25-</w:t>
          </w:r>
          <w:r>
            <w:rPr>
              <w:rFonts w:hint="eastAsia" w:eastAsia="宋体"/>
              <w:b w:val="0"/>
              <w:color w:val="FF0000"/>
              <w:lang w:val="en-US" w:eastAsia="zh-CN"/>
            </w:rPr>
            <w:t>4439</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505ADBBA">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31A21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qFormat="1"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uiPriority="99" w:name="Normal Indent"/>
    <w:lsdException w:unhideWhenUsed="0" w:uiPriority="5" w:semiHidden="0" w:name="footnote text"/>
    <w:lsdException w:qFormat="1" w:uiPriority="99" w:semiHidden="0" w:name="annotation text"/>
    <w:lsdException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uiPriority="99" w:name="List 4"/>
    <w:lsdException w:qFormat="1" w:uiPriority="99" w:name="List 5"/>
    <w:lsdException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qFormat="1" w:uiPriority="99" w:name="List Continue 2"/>
    <w:lsdException w:qFormat="1" w:uiPriority="99" w:name="List Continue 3"/>
    <w:lsdException w:qFormat="1" w:uiPriority="99" w:name="List Continue 4"/>
    <w:lsdException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uiPriority="99" w:name="Normal (Web)"/>
    <w:lsdException w:qFormat="1" w:uiPriority="99" w:name="HTML Acronym"/>
    <w:lsdException w:qFormat="1" w:uiPriority="99" w:name="HTML Address"/>
    <w:lsdException w:uiPriority="99" w:name="HTML Cite"/>
    <w:lsdException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qFormat="1" w:uiPriority="99" w:name="Table Simple 2"/>
    <w:lsdException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uiPriority="99" w:name="Table Columns 2"/>
    <w:lsdException w:uiPriority="99" w:name="Table Columns 3"/>
    <w:lsdException w:qFormat="1" w:uiPriority="99" w:name="Table Columns 4"/>
    <w:lsdException w:uiPriority="99" w:name="Table Columns 5"/>
    <w:lsdException w:uiPriority="99" w:name="Table Grid 1"/>
    <w:lsdException w:qFormat="1" w:uiPriority="99" w:name="Table Grid 2"/>
    <w:lsdException w:uiPriority="99" w:name="Table Grid 3"/>
    <w:lsdException w:qFormat="1" w:uiPriority="99" w:name="Table Grid 4"/>
    <w:lsdException w:qFormat="1" w:uiPriority="99" w:name="Table Grid 5"/>
    <w:lsdException w:qFormat="1" w:uiPriority="99" w:name="Table Grid 6"/>
    <w:lsdException w:qFormat="1" w:uiPriority="99" w:name="Table Grid 7"/>
    <w:lsdException w:uiPriority="99" w:name="Table Grid 8"/>
    <w:lsdException w:qFormat="1" w:uiPriority="99" w:name="Table List 1"/>
    <w:lsdException w:qFormat="1" w:uiPriority="99" w:name="Table List 2"/>
    <w:lsdException w:uiPriority="99" w:name="Table List 3"/>
    <w:lsdException w:qFormat="1" w:uiPriority="99" w:name="Table List 4"/>
    <w:lsdException w:uiPriority="99" w:name="Table List 5"/>
    <w:lsdException w:qFormat="1" w:uiPriority="99" w:name="Table List 6"/>
    <w:lsdException w:uiPriority="99" w:name="Table List 7"/>
    <w:lsdException w:uiPriority="99" w:name="Table List 8"/>
    <w:lsdException w:qFormat="1" w:uiPriority="99" w:name="Table 3D effects 1"/>
    <w:lsdException w:qFormat="1" w:uiPriority="99" w:name="Table 3D effects 2"/>
    <w:lsdException w:qFormat="1" w:uiPriority="99" w:name="Table 3D effects 3"/>
    <w:lsdException w:uiPriority="99" w:name="Table Contemporary"/>
    <w:lsdException w:uiPriority="99" w:name="Table Elegant"/>
    <w:lsdException w:uiPriority="99" w:name="Table Professional"/>
    <w:lsdException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384</Words>
  <Characters>2249</Characters>
  <Lines>21</Lines>
  <Paragraphs>6</Paragraphs>
  <TotalTime>0</TotalTime>
  <ScaleCrop>false</ScaleCrop>
  <LinksUpToDate>false</LinksUpToDate>
  <CharactersWithSpaces>2598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2025-07-09T14:27:28Z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