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968E0">
      <w:pPr>
        <w:pStyle w:val="84"/>
        <w:rPr>
          <w:caps w:val="0"/>
          <w:kern w:val="0"/>
        </w:rPr>
      </w:pPr>
      <w:r>
        <w:rPr>
          <w:caps w:val="0"/>
          <w:kern w:val="0"/>
        </w:rPr>
        <w:t>NOTIFICATION</w:t>
      </w:r>
    </w:p>
    <w:p w14:paraId="48A926B3">
      <w:pPr>
        <w:jc w:val="center"/>
      </w:pPr>
      <w:r>
        <w:t>The following notification is being circulated in accordance with Article 10.6</w:t>
      </w:r>
    </w:p>
    <w:p w14:paraId="1C3E8C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491D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6974A52">
            <w:pPr>
              <w:spacing w:before="120" w:after="120"/>
              <w:jc w:val="left"/>
            </w:pPr>
            <w:r>
              <w:rPr>
                <w:b/>
              </w:rPr>
              <w:t>1.</w:t>
            </w:r>
          </w:p>
        </w:tc>
        <w:tc>
          <w:tcPr>
            <w:tcW w:w="8546" w:type="dxa"/>
            <w:tcBorders>
              <w:bottom w:val="single" w:color="auto" w:sz="6" w:space="0"/>
            </w:tcBorders>
            <w:shd w:val="clear" w:color="auto" w:fill="auto"/>
          </w:tcPr>
          <w:p w14:paraId="150AE1D1">
            <w:pPr>
              <w:spacing w:before="120" w:after="120"/>
            </w:pPr>
            <w:r>
              <w:rPr>
                <w:b/>
              </w:rPr>
              <w:t>Notifying Member:</w:t>
            </w:r>
            <w:r>
              <w:t xml:space="preserve"> </w:t>
            </w:r>
            <w:r>
              <w:rPr>
                <w:u w:val="single"/>
              </w:rPr>
              <w:t>RWANDA</w:t>
            </w:r>
          </w:p>
          <w:p w14:paraId="5D85C0FA">
            <w:pPr>
              <w:spacing w:after="120"/>
            </w:pPr>
            <w:r>
              <w:rPr>
                <w:b/>
              </w:rPr>
              <w:t>If applicable, name of local government involved (Article 3.2 and 7.2):</w:t>
            </w:r>
            <w:r>
              <w:t xml:space="preserve"> </w:t>
            </w:r>
          </w:p>
        </w:tc>
      </w:tr>
      <w:tr w14:paraId="5F7A0E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2FF5ED2">
            <w:pPr>
              <w:spacing w:before="120" w:after="120"/>
              <w:jc w:val="left"/>
            </w:pPr>
            <w:r>
              <w:rPr>
                <w:b/>
              </w:rPr>
              <w:t>2.</w:t>
            </w:r>
          </w:p>
        </w:tc>
        <w:tc>
          <w:tcPr>
            <w:tcW w:w="8546" w:type="dxa"/>
            <w:tcBorders>
              <w:top w:val="single" w:color="auto" w:sz="6" w:space="0"/>
              <w:bottom w:val="single" w:color="auto" w:sz="6" w:space="0"/>
            </w:tcBorders>
            <w:shd w:val="clear" w:color="auto" w:fill="auto"/>
          </w:tcPr>
          <w:p w14:paraId="79E58BE8">
            <w:pPr>
              <w:spacing w:before="120" w:after="120"/>
            </w:pPr>
            <w:r>
              <w:rPr>
                <w:b/>
              </w:rPr>
              <w:t>Agency responsible:</w:t>
            </w:r>
            <w:r>
              <w:t xml:space="preserve"> </w:t>
            </w:r>
          </w:p>
          <w:p w14:paraId="53A6CE88">
            <w:pPr>
              <w:spacing w:after="120"/>
            </w:pPr>
            <w:r>
              <w:t>Ministry of Trade and Industry (MINICOM), Republic of Rwanda</w:t>
            </w:r>
          </w:p>
          <w:p w14:paraId="747FA21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5B65A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8EA69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992893">
            <w:pPr>
              <w:spacing w:before="120" w:after="120"/>
            </w:pPr>
            <w:r>
              <w:rPr>
                <w:b/>
              </w:rPr>
              <w:t>Notified under Article 2.9.2 [X], 2.10.1 [ ], 5.6.2 [ ], 5.7.1 [ ], 3.2 [ ], 7.2 [ ], other:</w:t>
            </w:r>
            <w:r>
              <w:t xml:space="preserve"> </w:t>
            </w:r>
          </w:p>
        </w:tc>
      </w:tr>
      <w:tr w14:paraId="7B3AF2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C29A49">
            <w:pPr>
              <w:spacing w:before="120" w:after="120"/>
              <w:jc w:val="left"/>
            </w:pPr>
            <w:r>
              <w:rPr>
                <w:b/>
              </w:rPr>
              <w:t>4.</w:t>
            </w:r>
          </w:p>
        </w:tc>
        <w:tc>
          <w:tcPr>
            <w:tcW w:w="8546" w:type="dxa"/>
            <w:tcBorders>
              <w:top w:val="single" w:color="auto" w:sz="6" w:space="0"/>
              <w:bottom w:val="single" w:color="auto" w:sz="6" w:space="0"/>
            </w:tcBorders>
            <w:shd w:val="clear" w:color="auto" w:fill="auto"/>
          </w:tcPr>
          <w:p w14:paraId="07A5B5C5">
            <w:pPr>
              <w:spacing w:before="120" w:after="120"/>
            </w:pPr>
            <w:r>
              <w:rPr>
                <w:b/>
              </w:rPr>
              <w:t>Products covered (HS or CCCN where applicable, otherwise national tariff heading. ICS numbers may be provided in addition, where applicable):</w:t>
            </w:r>
            <w:r>
              <w:t xml:space="preserve"> Road equipment and installations (ICS code(s): 93.080.30)</w:t>
            </w:r>
          </w:p>
        </w:tc>
      </w:tr>
      <w:tr w14:paraId="1FA4F1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74F6BB">
            <w:pPr>
              <w:spacing w:before="120" w:after="120"/>
              <w:jc w:val="left"/>
            </w:pPr>
            <w:r>
              <w:rPr>
                <w:b/>
              </w:rPr>
              <w:t>5.</w:t>
            </w:r>
          </w:p>
        </w:tc>
        <w:tc>
          <w:tcPr>
            <w:tcW w:w="8546" w:type="dxa"/>
            <w:tcBorders>
              <w:top w:val="single" w:color="auto" w:sz="6" w:space="0"/>
              <w:bottom w:val="single" w:color="auto" w:sz="6" w:space="0"/>
            </w:tcBorders>
            <w:shd w:val="clear" w:color="auto" w:fill="auto"/>
          </w:tcPr>
          <w:p w14:paraId="6370E820">
            <w:pPr>
              <w:spacing w:before="120" w:after="120"/>
            </w:pPr>
            <w:r>
              <w:rPr>
                <w:b/>
              </w:rPr>
              <w:t>Title, number of pages and language(s) of the notified document:</w:t>
            </w:r>
            <w:r>
              <w:t xml:space="preserve"> DRS 607-3:2025, Gully tops and manhole tops for vehicular and pedestrian areas — Specification — Part 3: Gully tops and manhole tops made of steel or aluminium alloys.; (47 page(s), in English)</w:t>
            </w:r>
          </w:p>
        </w:tc>
      </w:tr>
      <w:tr w14:paraId="1CA71F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C650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633EC3C">
            <w:pPr>
              <w:spacing w:before="120" w:after="120"/>
              <w:rPr>
                <w:b/>
              </w:rPr>
            </w:pPr>
            <w:r>
              <w:rPr>
                <w:b/>
              </w:rPr>
              <w:t>Description of content:</w:t>
            </w:r>
            <w:r>
              <w:t xml:space="preserve"> This Draft Rwanda Standard specifies requirements, sampling and test method for gully tops and manhole tops made of steel or aluminium alloys with a clear opening up to and including 1 000 mm.</w:t>
            </w:r>
          </w:p>
          <w:p w14:paraId="20FAAD57">
            <w:pPr>
              <w:spacing w:before="120" w:after="120"/>
            </w:pPr>
            <w:r>
              <w:t>It is applicable to manhole tops and gully tops for use in in areas subjected to pedestrian and/or vehicular traffic of class A 15, B 125, C 250, D 400, E 600 and F 900.</w:t>
            </w:r>
          </w:p>
          <w:p w14:paraId="4BD89987">
            <w:pPr>
              <w:spacing w:before="120" w:after="120"/>
            </w:pPr>
            <w:r>
              <w:t>This Standard is not applicable to:</w:t>
            </w:r>
          </w:p>
          <w:p w14:paraId="4F86AF5A">
            <w:pPr>
              <w:spacing w:before="120" w:after="120"/>
            </w:pPr>
            <w:r>
              <w:t>— manhole tops and gully tops made of aluminium tread plates for use in carriageways of roads (class D 400) and areas imposing high wheel loads (Classes E 600 and F 900);</w:t>
            </w:r>
          </w:p>
          <w:p w14:paraId="7D01EB54">
            <w:pPr>
              <w:spacing w:before="120" w:after="120"/>
            </w:pPr>
            <w:r>
              <w:t>— concave gratings for class D 400 installed in carriageways of roads or hard shoulders and concave gratings for classes F 900 and E 600;</w:t>
            </w:r>
          </w:p>
          <w:p w14:paraId="4DADFB56">
            <w:pPr>
              <w:spacing w:before="120" w:after="120"/>
            </w:pPr>
            <w:r>
              <w:t>— gratings/covers as part of prefabricated drainage channels;</w:t>
            </w:r>
          </w:p>
          <w:p w14:paraId="268FFBF8">
            <w:pPr>
              <w:spacing w:before="120" w:after="120"/>
            </w:pPr>
            <w:r>
              <w:t>— floor and roof gullies in buildings;</w:t>
            </w:r>
          </w:p>
          <w:p w14:paraId="7CC217E1">
            <w:pPr>
              <w:spacing w:before="120" w:after="120"/>
            </w:pPr>
            <w:r>
              <w:t>— surface boxes; and</w:t>
            </w:r>
          </w:p>
          <w:p w14:paraId="3D1B1B2F">
            <w:pPr>
              <w:spacing w:before="120" w:after="120"/>
            </w:pPr>
            <w:r>
              <w:t>— gully tops and manhole tops which are fabricated in hot working process.</w:t>
            </w:r>
          </w:p>
          <w:p w14:paraId="2C198993">
            <w:pPr>
              <w:spacing w:before="120" w:after="120"/>
            </w:pPr>
            <w:r>
              <w:t>NOTE This Part 3 of DRS 607 is not applicable in isolation, but only in combination with DRS 607-1 and gives guidance for combinations of covers/gratings made of steel or aluminium alloys with frames according to DRS 607-2 and DRS 607-4, DRS 607-5 or DRS 607-6.</w:t>
            </w:r>
          </w:p>
        </w:tc>
      </w:tr>
      <w:tr w14:paraId="5B1B62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5F43C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BB85ED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570AFFB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4A766B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51D5373">
            <w:pPr>
              <w:spacing w:before="120" w:after="120"/>
              <w:rPr>
                <w:bCs/>
              </w:rPr>
            </w:pPr>
            <w:r>
              <w:rPr>
                <w:b/>
              </w:rPr>
              <w:t>Relevant documents:</w:t>
            </w:r>
            <w:r>
              <w:t xml:space="preserve"> </w:t>
            </w:r>
          </w:p>
          <w:p w14:paraId="42691115">
            <w:pPr>
              <w:numPr>
                <w:ilvl w:val="0"/>
                <w:numId w:val="7"/>
              </w:numPr>
              <w:spacing w:before="120" w:after="120"/>
            </w:pPr>
            <w:r>
              <w:t>DRS 607-6, Gully tops and manhole tops for vehicular and pedestrian areas — Part 6: Gully tops and manhole tops made of polypropylene (PP), polyethylene (PE) or unplasticized poly(vinyl chloride) (PVC-U)</w:t>
            </w:r>
          </w:p>
          <w:p w14:paraId="53C11D2F">
            <w:pPr>
              <w:numPr>
                <w:ilvl w:val="0"/>
                <w:numId w:val="7"/>
              </w:numPr>
              <w:spacing w:before="120" w:after="120"/>
            </w:pPr>
            <w:r>
              <w:t>RS ISO 22965, Concrete — Part 2: Specification of constituent materials, production of concrete and compliance of concrete1DRS 607-1, Gully tops and manhole tops for vehicular and pedestrian areas — Part 1: Definitions, classification, general principles of design, performance requirements and test methods</w:t>
            </w:r>
          </w:p>
          <w:p w14:paraId="328963A6">
            <w:pPr>
              <w:numPr>
                <w:ilvl w:val="0"/>
                <w:numId w:val="7"/>
              </w:numPr>
              <w:spacing w:before="120" w:after="120"/>
            </w:pPr>
            <w:r>
              <w:t>DRS 607-2, Gully tops and manhole tops for vehicular and pedestrian areas Part 2: Gully tops and manhole tops made of cast iron</w:t>
            </w:r>
          </w:p>
          <w:p w14:paraId="5BC0AD65">
            <w:pPr>
              <w:numPr>
                <w:ilvl w:val="0"/>
                <w:numId w:val="7"/>
              </w:numPr>
              <w:spacing w:before="120" w:after="120"/>
            </w:pPr>
            <w:r>
              <w:t>DRS 607-4, Gully tops and manhole tops for vehicular and pedestrian areas — Part 4: Gully tops and manhole tops made of steel reinforced concrete</w:t>
            </w:r>
          </w:p>
          <w:p w14:paraId="09C8F095">
            <w:pPr>
              <w:numPr>
                <w:ilvl w:val="0"/>
                <w:numId w:val="7"/>
              </w:numPr>
              <w:spacing w:before="120" w:after="120"/>
            </w:pPr>
            <w:r>
              <w:t>DRS 607-5, Gully tops and manhole tops for vehicular and pedestrian areas — Part 5: Gully tops and manhole tops made of composite materials</w:t>
            </w:r>
          </w:p>
          <w:p w14:paraId="7CC24563">
            <w:pPr>
              <w:numPr>
                <w:ilvl w:val="0"/>
                <w:numId w:val="7"/>
              </w:numPr>
              <w:spacing w:before="120" w:after="120"/>
            </w:pPr>
            <w:r>
              <w:t>ISO 209, Wrought aluminium and aluminium alloys — Chemical composition</w:t>
            </w:r>
          </w:p>
          <w:p w14:paraId="43ECEF2F">
            <w:pPr>
              <w:numPr>
                <w:ilvl w:val="0"/>
                <w:numId w:val="7"/>
              </w:numPr>
              <w:spacing w:before="120" w:after="120"/>
            </w:pPr>
            <w:r>
              <w:t>ASTM B632/B632M-24, Standard Specification for Aluminium-Alloy Rolled Tread Plate</w:t>
            </w:r>
          </w:p>
          <w:p w14:paraId="73A0C09A">
            <w:pPr>
              <w:numPr>
                <w:ilvl w:val="0"/>
                <w:numId w:val="7"/>
              </w:numPr>
              <w:spacing w:before="120" w:after="120"/>
            </w:pPr>
            <w:r>
              <w:t>ISO 17615, Aluminium and aluminium alloys — Alloyed ingots for remelting — Specifications</w:t>
            </w:r>
          </w:p>
          <w:p w14:paraId="7909CEAD">
            <w:pPr>
              <w:numPr>
                <w:ilvl w:val="0"/>
                <w:numId w:val="7"/>
              </w:numPr>
              <w:spacing w:before="120" w:after="120"/>
            </w:pPr>
            <w:r>
              <w:t>ISO 3522, Aluminium and aluminium alloys — Castings — Chemical composition and mechanical properties</w:t>
            </w:r>
          </w:p>
          <w:p w14:paraId="084AB112">
            <w:pPr>
              <w:numPr>
                <w:ilvl w:val="0"/>
                <w:numId w:val="7"/>
              </w:numPr>
              <w:spacing w:before="120" w:after="120"/>
            </w:pPr>
            <w:r>
              <w:t>ISO 15510, Stainless steels — Chemical composition</w:t>
            </w:r>
          </w:p>
          <w:p w14:paraId="3477BA82">
            <w:pPr>
              <w:numPr>
                <w:ilvl w:val="0"/>
                <w:numId w:val="7"/>
              </w:numPr>
              <w:spacing w:before="120" w:after="120"/>
            </w:pPr>
            <w:r>
              <w:t>RS ISO 22965, Concrete Part 2: Specification of constituent materials, production of concrete and compliance of concrete</w:t>
            </w:r>
          </w:p>
          <w:p w14:paraId="703AE531">
            <w:pPr>
              <w:numPr>
                <w:ilvl w:val="0"/>
                <w:numId w:val="7"/>
              </w:numPr>
              <w:spacing w:before="120" w:after="120"/>
            </w:pPr>
            <w:r>
              <w:t>ISO 630-1, Structural steels Part 1: General technical delivery conditions for hot-rolled products</w:t>
            </w:r>
          </w:p>
          <w:p w14:paraId="1E776C15">
            <w:pPr>
              <w:numPr>
                <w:ilvl w:val="0"/>
                <w:numId w:val="7"/>
              </w:numPr>
              <w:spacing w:before="120" w:after="120"/>
            </w:pPr>
            <w:r>
              <w:t>ISO 3574, Cold-reduced carbon steel sheet of commercial and drawing qualities</w:t>
            </w:r>
          </w:p>
          <w:p w14:paraId="667A2F07">
            <w:pPr>
              <w:numPr>
                <w:ilvl w:val="0"/>
                <w:numId w:val="7"/>
              </w:numPr>
              <w:spacing w:before="120" w:after="120"/>
            </w:pPr>
            <w:r>
              <w:t>ISO 1461, Hot dip galvanized coatings on fabricated iron and steel articles — Specifications and test methods</w:t>
            </w:r>
          </w:p>
          <w:p w14:paraId="786B11BB">
            <w:pPr>
              <w:numPr>
                <w:ilvl w:val="0"/>
                <w:numId w:val="7"/>
              </w:numPr>
              <w:spacing w:before="120" w:after="120"/>
            </w:pPr>
            <w:r>
              <w:t>ISO 3452-1, Non-destructive testing - Penetrant testing — Part 1: General principles</w:t>
            </w:r>
          </w:p>
          <w:p w14:paraId="3E942C3E">
            <w:pPr>
              <w:numPr>
                <w:ilvl w:val="0"/>
                <w:numId w:val="7"/>
              </w:numPr>
              <w:spacing w:before="120" w:after="120"/>
            </w:pPr>
            <w:r>
              <w:t>ISO 9606-1, Qualification testing of welders — Fusion welding — Part 1: Steels</w:t>
            </w:r>
          </w:p>
          <w:p w14:paraId="5572235C">
            <w:pPr>
              <w:numPr>
                <w:ilvl w:val="0"/>
                <w:numId w:val="7"/>
              </w:numPr>
              <w:spacing w:before="120" w:after="120"/>
            </w:pPr>
            <w:r>
              <w:t>ISO 9606-2, Qualification test of welders — Fusion welding — Part 2: Aluminium and aluminium alloys</w:t>
            </w:r>
          </w:p>
          <w:p w14:paraId="16C35C49">
            <w:pPr>
              <w:numPr>
                <w:ilvl w:val="0"/>
                <w:numId w:val="7"/>
              </w:numPr>
              <w:spacing w:before="120" w:after="120"/>
            </w:pPr>
            <w:r>
              <w:t>ISO 14554 (all parts), Quality requirements for welding — Resistance welding of metallic materials</w:t>
            </w:r>
          </w:p>
          <w:p w14:paraId="5FB82A85">
            <w:pPr>
              <w:numPr>
                <w:ilvl w:val="0"/>
                <w:numId w:val="7"/>
              </w:numPr>
              <w:spacing w:before="120" w:after="120"/>
            </w:pPr>
            <w:r>
              <w:t>ISO 14732, Welding personnel — Qualification testing of welding operators and weld setters for mechanized and automatic welding of metallic materials</w:t>
            </w:r>
          </w:p>
          <w:p w14:paraId="7EBE1EC0">
            <w:pPr>
              <w:numPr>
                <w:ilvl w:val="0"/>
                <w:numId w:val="7"/>
              </w:numPr>
              <w:spacing w:before="120" w:after="120"/>
            </w:pPr>
            <w:r>
              <w:t>ISO 15609 (all parts), Specification and qualification of welding procedures for metallic materials —Welding procedure specification</w:t>
            </w:r>
            <w:bookmarkStart w:id="10" w:name="_GoBack"/>
            <w:bookmarkEnd w:id="10"/>
          </w:p>
        </w:tc>
      </w:tr>
      <w:tr w14:paraId="0DD089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01B81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9015B85">
            <w:pPr>
              <w:spacing w:before="120" w:after="120"/>
            </w:pPr>
            <w:r>
              <w:rPr>
                <w:b/>
              </w:rPr>
              <w:t>Proposed date of adoption:</w:t>
            </w:r>
            <w:r>
              <w:t xml:space="preserve"> To be determined</w:t>
            </w:r>
          </w:p>
          <w:p w14:paraId="5420EA7C">
            <w:pPr>
              <w:spacing w:after="120"/>
            </w:pPr>
            <w:r>
              <w:rPr>
                <w:b/>
              </w:rPr>
              <w:t>Proposed date of entry into force:</w:t>
            </w:r>
            <w:r>
              <w:t xml:space="preserve"> 6 months from adoption</w:t>
            </w:r>
          </w:p>
        </w:tc>
      </w:tr>
      <w:tr w14:paraId="6CCE1B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444BB1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BC983B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774A3821">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p>
        </w:tc>
      </w:tr>
      <w:tr w14:paraId="1ECED7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03F2E6">
            <w:pPr>
              <w:keepNext/>
              <w:keepLines/>
              <w:spacing w:before="120" w:after="120"/>
              <w:jc w:val="left"/>
              <w:rPr>
                <w:b/>
              </w:rPr>
            </w:pPr>
            <w:r>
              <w:rPr>
                <w:b/>
              </w:rPr>
              <w:t>11.</w:t>
            </w:r>
          </w:p>
        </w:tc>
        <w:tc>
          <w:tcPr>
            <w:tcW w:w="8546" w:type="dxa"/>
            <w:tcBorders>
              <w:top w:val="single" w:color="auto" w:sz="6" w:space="0"/>
            </w:tcBorders>
            <w:shd w:val="clear" w:color="auto" w:fill="auto"/>
          </w:tcPr>
          <w:p w14:paraId="448A3300">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F41290D">
            <w:pPr>
              <w:rPr>
                <w:iCs/>
              </w:rPr>
            </w:pPr>
            <w:r>
              <w:rPr>
                <w:iCs/>
              </w:rPr>
              <w:t>Rwanda Standards Board (RSB)</w:t>
            </w:r>
          </w:p>
          <w:p w14:paraId="71D0ACEA">
            <w:pPr>
              <w:rPr>
                <w:iCs/>
              </w:rPr>
            </w:pPr>
            <w:r>
              <w:rPr>
                <w:iCs/>
              </w:rPr>
              <w:t>KK 15 Rd, 49</w:t>
            </w:r>
          </w:p>
          <w:p w14:paraId="6D867B00">
            <w:pPr>
              <w:rPr>
                <w:iCs/>
                <w:lang w:val="fr-CH"/>
              </w:rPr>
            </w:pPr>
            <w:r>
              <w:rPr>
                <w:iCs/>
                <w:lang w:val="fr-CH"/>
              </w:rPr>
              <w:t>P.O.BOX 7099, Kigali, Rwanda</w:t>
            </w:r>
          </w:p>
          <w:p w14:paraId="5B29A1B7">
            <w:pPr>
              <w:rPr>
                <w:iCs/>
                <w:lang w:val="fr-CH"/>
              </w:rPr>
            </w:pPr>
            <w:r>
              <w:rPr>
                <w:iCs/>
                <w:lang w:val="fr-CH"/>
              </w:rPr>
              <w:t>Tel: +250 788303492</w:t>
            </w:r>
          </w:p>
          <w:p w14:paraId="672DC6EA">
            <w:pPr>
              <w:rPr>
                <w:iCs/>
              </w:rPr>
            </w:pPr>
            <w:r>
              <w:rPr>
                <w:iCs/>
              </w:rPr>
              <w:t xml:space="preserve">Email: </w:t>
            </w:r>
            <w:r>
              <w:fldChar w:fldCharType="begin"/>
            </w:r>
            <w:r>
              <w:instrText xml:space="preserve"> HYPERLINK "mailto:info@rsb.gov.rw" </w:instrText>
            </w:r>
            <w:r>
              <w:fldChar w:fldCharType="separate"/>
            </w:r>
            <w:r>
              <w:rPr>
                <w:iCs/>
                <w:color w:val="0000FF"/>
                <w:u w:val="single"/>
              </w:rPr>
              <w:t>info@rsb.gov.rw</w:t>
            </w:r>
            <w:r>
              <w:rPr>
                <w:iCs/>
                <w:color w:val="0000FF"/>
                <w:u w:val="single"/>
              </w:rPr>
              <w:fldChar w:fldCharType="end"/>
            </w:r>
          </w:p>
          <w:p w14:paraId="3088FA26">
            <w:pPr>
              <w:keepNext/>
              <w:keepLines/>
              <w:pBdr>
                <w:top w:val="none" w:color="auto" w:sz="0" w:space="4"/>
              </w:pBdr>
              <w:spacing w:after="120"/>
              <w:rPr>
                <w:iCs/>
              </w:rPr>
            </w:pPr>
            <w:r>
              <w:rPr>
                <w:iCs/>
              </w:rPr>
              <w:t xml:space="preserve">Website: </w:t>
            </w:r>
            <w:r>
              <w:fldChar w:fldCharType="begin"/>
            </w:r>
            <w:r>
              <w:instrText xml:space="preserve"> HYPERLINK "http://www.rsb.gov.rw" </w:instrText>
            </w:r>
            <w:r>
              <w:fldChar w:fldCharType="separate"/>
            </w:r>
            <w:r>
              <w:rPr>
                <w:rStyle w:val="242"/>
                <w:iCs/>
              </w:rPr>
              <w:t>www.rsb.gov.rw</w:t>
            </w:r>
            <w:r>
              <w:rPr>
                <w:rStyle w:val="242"/>
                <w:iCs/>
              </w:rPr>
              <w:fldChar w:fldCharType="end"/>
            </w:r>
            <w:r>
              <w:rPr>
                <w:iCs/>
              </w:rPr>
              <w:t xml:space="preserve"> </w:t>
            </w:r>
          </w:p>
          <w:p w14:paraId="1A306DB6">
            <w:pPr>
              <w:pBdr>
                <w:top w:val="none" w:color="auto" w:sz="0" w:space="4"/>
                <w:bottom w:val="none" w:color="auto" w:sz="0" w:space="4"/>
              </w:pBdr>
              <w:rPr>
                <w:iCs/>
              </w:rPr>
            </w:pPr>
            <w:r>
              <w:fldChar w:fldCharType="begin"/>
            </w:r>
            <w:r>
              <w:instrText xml:space="preserve"> HYPERLINK "https://members.wto.org/crnattachments/2025/TBT/RWA/25_04417_00_e.pdf" \t "_blank" </w:instrText>
            </w:r>
            <w:r>
              <w:fldChar w:fldCharType="separate"/>
            </w:r>
            <w:r>
              <w:rPr>
                <w:iCs/>
                <w:color w:val="0000FF"/>
                <w:u w:val="single"/>
              </w:rPr>
              <w:t>https://members.wto.org/crnattachments/2025/TBT/RWA/25_04417_00_e.pdf</w:t>
            </w:r>
            <w:r>
              <w:rPr>
                <w:iCs/>
                <w:color w:val="0000FF"/>
                <w:u w:val="single"/>
              </w:rPr>
              <w:fldChar w:fldCharType="end"/>
            </w:r>
          </w:p>
        </w:tc>
      </w:tr>
    </w:tbl>
    <w:p w14:paraId="003795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865A">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FDD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44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AECB">
    <w:pPr>
      <w:pStyle w:val="58"/>
      <w:pBdr>
        <w:bottom w:val="single" w:color="auto" w:sz="4" w:space="1"/>
      </w:pBdr>
      <w:tabs>
        <w:tab w:val="clear" w:pos="4513"/>
        <w:tab w:val="clear" w:pos="9027"/>
      </w:tabs>
      <w:jc w:val="center"/>
    </w:pPr>
    <w:bookmarkStart w:id="9" w:name="spsSymbolHeader"/>
    <w:r>
      <w:t>G/TBT/N/RWA/1198</w:t>
    </w:r>
    <w:bookmarkEnd w:id="9"/>
  </w:p>
  <w:p w14:paraId="090DA0AE">
    <w:pPr>
      <w:pStyle w:val="58"/>
      <w:pBdr>
        <w:bottom w:val="single" w:color="auto" w:sz="4" w:space="1"/>
      </w:pBdr>
      <w:tabs>
        <w:tab w:val="clear" w:pos="4513"/>
        <w:tab w:val="clear" w:pos="9027"/>
      </w:tabs>
      <w:jc w:val="center"/>
    </w:pPr>
  </w:p>
  <w:p w14:paraId="6AD9DB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2B91387">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C4E6">
    <w:pPr>
      <w:pStyle w:val="58"/>
      <w:pBdr>
        <w:bottom w:val="single" w:color="auto" w:sz="4" w:space="1"/>
      </w:pBdr>
      <w:tabs>
        <w:tab w:val="clear" w:pos="4513"/>
        <w:tab w:val="clear" w:pos="9027"/>
      </w:tabs>
      <w:jc w:val="center"/>
    </w:pPr>
    <w:r>
      <w:t>tbtSymbol</w:t>
    </w:r>
  </w:p>
  <w:p w14:paraId="4031646D">
    <w:pPr>
      <w:pStyle w:val="58"/>
      <w:pBdr>
        <w:bottom w:val="single" w:color="auto" w:sz="4" w:space="1"/>
      </w:pBdr>
      <w:tabs>
        <w:tab w:val="clear" w:pos="4513"/>
        <w:tab w:val="clear" w:pos="9027"/>
      </w:tabs>
      <w:jc w:val="center"/>
    </w:pPr>
  </w:p>
  <w:p w14:paraId="41E67E4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286DA48">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6D377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C9263B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57071C3F">
          <w:pPr>
            <w:jc w:val="right"/>
            <w:rPr>
              <w:b/>
              <w:color w:val="FF0000"/>
              <w:szCs w:val="16"/>
            </w:rPr>
          </w:pPr>
        </w:p>
      </w:tc>
    </w:tr>
    <w:bookmarkEnd w:id="0"/>
    <w:tr w14:paraId="1E0CAF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9986E1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C3CFEE">
          <w:pPr>
            <w:jc w:val="right"/>
            <w:rPr>
              <w:b/>
              <w:szCs w:val="16"/>
            </w:rPr>
          </w:pPr>
        </w:p>
      </w:tc>
    </w:tr>
    <w:tr w14:paraId="214D81CD">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7A4A4DE">
          <w:pPr>
            <w:jc w:val="left"/>
            <w:rPr>
              <w:lang w:eastAsia="en-GB"/>
            </w:rPr>
          </w:pPr>
        </w:p>
      </w:tc>
      <w:tc>
        <w:tcPr>
          <w:tcW w:w="5448" w:type="dxa"/>
          <w:gridSpan w:val="2"/>
          <w:shd w:val="clear" w:color="auto" w:fill="FFFFFF"/>
          <w:tcMar>
            <w:left w:w="108" w:type="dxa"/>
            <w:right w:w="108" w:type="dxa"/>
          </w:tcMar>
        </w:tcPr>
        <w:p w14:paraId="3255D15C">
          <w:pPr>
            <w:jc w:val="right"/>
            <w:rPr>
              <w:rFonts w:hint="default" w:eastAsia="宋体"/>
              <w:b/>
              <w:szCs w:val="16"/>
              <w:lang w:val="en-US" w:eastAsia="zh-CN"/>
            </w:rPr>
          </w:pPr>
          <w:bookmarkStart w:id="1" w:name="bmkSymbols"/>
          <w:r>
            <w:rPr>
              <w:b/>
              <w:szCs w:val="16"/>
            </w:rPr>
            <w:t>G/TBT/N/RWA/1</w:t>
          </w:r>
          <w:bookmarkEnd w:id="1"/>
          <w:r>
            <w:rPr>
              <w:rFonts w:hint="eastAsia" w:eastAsia="宋体"/>
              <w:b/>
              <w:szCs w:val="16"/>
              <w:lang w:val="en-US" w:eastAsia="zh-CN"/>
            </w:rPr>
            <w:t>233</w:t>
          </w:r>
        </w:p>
      </w:tc>
    </w:tr>
    <w:tr w14:paraId="2415EDC7">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57964F9"/>
      </w:tc>
      <w:tc>
        <w:tcPr>
          <w:tcW w:w="5448" w:type="dxa"/>
          <w:gridSpan w:val="2"/>
          <w:shd w:val="clear" w:color="auto" w:fill="FFFFFF"/>
          <w:tcMar>
            <w:left w:w="108" w:type="dxa"/>
            <w:right w:w="108" w:type="dxa"/>
          </w:tcMar>
          <w:vAlign w:val="center"/>
        </w:tcPr>
        <w:p w14:paraId="0D237396">
          <w:pPr>
            <w:jc w:val="right"/>
            <w:rPr>
              <w:szCs w:val="16"/>
            </w:rPr>
          </w:pPr>
          <w:bookmarkStart w:id="2" w:name="bmkDate"/>
          <w:bookmarkStart w:id="3" w:name="spsDateDistribution"/>
          <w:r>
            <w:rPr>
              <w:szCs w:val="16"/>
            </w:rPr>
            <w:t>7 July 2025</w:t>
          </w:r>
          <w:bookmarkEnd w:id="2"/>
          <w:bookmarkEnd w:id="3"/>
        </w:p>
      </w:tc>
    </w:tr>
    <w:tr w14:paraId="7DC6B10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84FAC2E">
          <w:pPr>
            <w:jc w:val="left"/>
            <w:rPr>
              <w:b/>
            </w:rPr>
          </w:pPr>
          <w:bookmarkStart w:id="4" w:name="bmkSerial"/>
          <w:r>
            <w:rPr>
              <w:b w:val="0"/>
              <w:color w:val="FF0000"/>
            </w:rPr>
            <w:t>(25-</w:t>
          </w:r>
          <w:r>
            <w:rPr>
              <w:rFonts w:hint="eastAsia" w:eastAsia="宋体"/>
              <w:b w:val="0"/>
              <w:color w:val="FF0000"/>
              <w:lang w:val="en-US" w:eastAsia="zh-CN"/>
            </w:rPr>
            <w:t>4380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38D4617">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3</w:t>
          </w:r>
          <w:r>
            <w:rPr>
              <w:bCs/>
              <w:szCs w:val="16"/>
            </w:rPr>
            <w:fldChar w:fldCharType="end"/>
          </w:r>
          <w:bookmarkEnd w:id="5"/>
        </w:p>
      </w:tc>
    </w:tr>
    <w:tr w14:paraId="495DB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A83319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613317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B15CC8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7D19"/>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0985"/>
    <w:rsid w:val="00725DF8"/>
    <w:rsid w:val="00730370"/>
    <w:rsid w:val="00736D06"/>
    <w:rsid w:val="00745146"/>
    <w:rsid w:val="00756BA6"/>
    <w:rsid w:val="007577E3"/>
    <w:rsid w:val="00760DB3"/>
    <w:rsid w:val="007624E8"/>
    <w:rsid w:val="00796783"/>
    <w:rsid w:val="007B4DE8"/>
    <w:rsid w:val="007C24B7"/>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26211CA"/>
    <w:rsid w:val="43585AF1"/>
    <w:rsid w:val="491868E5"/>
    <w:rsid w:val="5A1A3BBA"/>
    <w:rsid w:val="7798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623</Words>
  <Characters>3370</Characters>
  <Lines>38</Lines>
  <Paragraphs>10</Paragraphs>
  <TotalTime>0</TotalTime>
  <ScaleCrop>false</ScaleCrop>
  <LinksUpToDate>false</LinksUpToDate>
  <CharactersWithSpaces>3948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2025-05-28T09:36:00Z</dcterms:created>
  <dc:creator>mark louie medidas</dc:creator>
  <dc:description>LDIMD - DTU</dc:description>
  <cp:lastModifiedBy> 譞譞</cp:lastModifiedBy>
  <dcterms:modified xsi:type="dcterms:W3CDTF">2025-07-07T15:07:09Z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0D37C1BE53704B2BA36CAC4E0E2D27BA_12</vt:lpwstr>
  </property>
</Properties>
</file>