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2968E0">
      <w:pPr>
        <w:pStyle w:val="84"/>
        <w:rPr>
          <w:caps w:val="0"/>
          <w:kern w:val="0"/>
        </w:rPr>
      </w:pPr>
      <w:r>
        <w:rPr>
          <w:caps w:val="0"/>
          <w:kern w:val="0"/>
        </w:rPr>
        <w:t>NOTIFICATION</w:t>
      </w:r>
    </w:p>
    <w:p w14:paraId="48A926B3">
      <w:pPr>
        <w:jc w:val="center"/>
      </w:pPr>
      <w:r>
        <w:t>The following notification is being circulated in accordance with Article 10.6</w:t>
      </w:r>
    </w:p>
    <w:p w14:paraId="1C3E8C41"/>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6F491D8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6974A52">
            <w:pPr>
              <w:spacing w:before="120" w:after="120"/>
              <w:jc w:val="left"/>
            </w:pPr>
            <w:r>
              <w:rPr>
                <w:b/>
              </w:rPr>
              <w:t>1.</w:t>
            </w:r>
          </w:p>
        </w:tc>
        <w:tc>
          <w:tcPr>
            <w:tcW w:w="8546" w:type="dxa"/>
            <w:tcBorders>
              <w:bottom w:val="single" w:color="auto" w:sz="6" w:space="0"/>
            </w:tcBorders>
            <w:shd w:val="clear" w:color="auto" w:fill="auto"/>
          </w:tcPr>
          <w:p w14:paraId="150AE1D1">
            <w:pPr>
              <w:spacing w:before="120" w:after="120"/>
            </w:pPr>
            <w:r>
              <w:rPr>
                <w:b/>
              </w:rPr>
              <w:t>Notifying Member:</w:t>
            </w:r>
            <w:r>
              <w:t xml:space="preserve"> </w:t>
            </w:r>
            <w:r>
              <w:rPr>
                <w:u w:val="single"/>
              </w:rPr>
              <w:t>RWANDA</w:t>
            </w:r>
          </w:p>
          <w:p w14:paraId="5D85C0FA">
            <w:pPr>
              <w:spacing w:after="120"/>
            </w:pPr>
            <w:r>
              <w:rPr>
                <w:b/>
              </w:rPr>
              <w:t>If applicable, name of local government involved (Article 3.2 and 7.2):</w:t>
            </w:r>
            <w:r>
              <w:t xml:space="preserve"> </w:t>
            </w:r>
          </w:p>
        </w:tc>
      </w:tr>
      <w:tr w14:paraId="5F7A0E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2FF5ED2">
            <w:pPr>
              <w:spacing w:before="120" w:after="120"/>
              <w:jc w:val="left"/>
            </w:pPr>
            <w:r>
              <w:rPr>
                <w:b/>
              </w:rPr>
              <w:t>2.</w:t>
            </w:r>
          </w:p>
        </w:tc>
        <w:tc>
          <w:tcPr>
            <w:tcW w:w="8546" w:type="dxa"/>
            <w:tcBorders>
              <w:top w:val="single" w:color="auto" w:sz="6" w:space="0"/>
              <w:bottom w:val="single" w:color="auto" w:sz="6" w:space="0"/>
            </w:tcBorders>
            <w:shd w:val="clear" w:color="auto" w:fill="auto"/>
          </w:tcPr>
          <w:p w14:paraId="79E58BE8">
            <w:pPr>
              <w:spacing w:before="120" w:after="120"/>
            </w:pPr>
            <w:r>
              <w:rPr>
                <w:b/>
              </w:rPr>
              <w:t>Agency responsible:</w:t>
            </w:r>
            <w:r>
              <w:t xml:space="preserve"> </w:t>
            </w:r>
          </w:p>
          <w:p w14:paraId="53A6CE88">
            <w:pPr>
              <w:spacing w:after="120"/>
            </w:pPr>
            <w:r>
              <w:t>Ministry of Trade and Industry (MINICOM), Republic of Rwanda</w:t>
            </w:r>
          </w:p>
          <w:p w14:paraId="747FA216">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65B65AB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88EA692">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3992893">
            <w:pPr>
              <w:spacing w:before="120" w:after="120"/>
            </w:pPr>
            <w:r>
              <w:rPr>
                <w:b/>
              </w:rPr>
              <w:t>Notified under Article 2.9.2 [X], 2.10.1 [ ], 5.6.2 [ ], 5.7.1 [ ], 3.2 [ ], 7.2 [ ], other:</w:t>
            </w:r>
            <w:r>
              <w:t xml:space="preserve"> </w:t>
            </w:r>
          </w:p>
        </w:tc>
      </w:tr>
      <w:tr w14:paraId="7B3AF2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FC29A49">
            <w:pPr>
              <w:spacing w:before="120" w:after="120"/>
              <w:jc w:val="left"/>
            </w:pPr>
            <w:r>
              <w:rPr>
                <w:b/>
              </w:rPr>
              <w:t>4.</w:t>
            </w:r>
          </w:p>
        </w:tc>
        <w:tc>
          <w:tcPr>
            <w:tcW w:w="8546" w:type="dxa"/>
            <w:tcBorders>
              <w:top w:val="single" w:color="auto" w:sz="6" w:space="0"/>
              <w:bottom w:val="single" w:color="auto" w:sz="6" w:space="0"/>
            </w:tcBorders>
            <w:shd w:val="clear" w:color="auto" w:fill="auto"/>
          </w:tcPr>
          <w:p w14:paraId="07A5B5C5">
            <w:pPr>
              <w:spacing w:before="120" w:after="120"/>
            </w:pPr>
            <w:r>
              <w:rPr>
                <w:b/>
              </w:rPr>
              <w:t>Products covered (HS or CCCN where applicable, otherwise national tariff heading. ICS numbers may be provided in addition, where applicable):</w:t>
            </w:r>
            <w:r>
              <w:t xml:space="preserve"> Road equipment and installations (ICS code(s): 93.080.30)</w:t>
            </w:r>
          </w:p>
        </w:tc>
      </w:tr>
      <w:tr w14:paraId="1FA4F13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F74F6BB">
            <w:pPr>
              <w:spacing w:before="120" w:after="120"/>
              <w:jc w:val="left"/>
            </w:pPr>
            <w:r>
              <w:rPr>
                <w:b/>
              </w:rPr>
              <w:t>5.</w:t>
            </w:r>
          </w:p>
        </w:tc>
        <w:tc>
          <w:tcPr>
            <w:tcW w:w="8546" w:type="dxa"/>
            <w:tcBorders>
              <w:top w:val="single" w:color="auto" w:sz="6" w:space="0"/>
              <w:bottom w:val="single" w:color="auto" w:sz="6" w:space="0"/>
            </w:tcBorders>
            <w:shd w:val="clear" w:color="auto" w:fill="auto"/>
          </w:tcPr>
          <w:p w14:paraId="6370E820">
            <w:pPr>
              <w:spacing w:before="120" w:after="120"/>
            </w:pPr>
            <w:r>
              <w:rPr>
                <w:b/>
              </w:rPr>
              <w:t>Title, number of pages and language(s) of the notified document:</w:t>
            </w:r>
            <w:r>
              <w:t xml:space="preserve"> DRS 607-2:2025, Gully tops and manhole tops for vehicular and pedestrian areas — Specification — Part 2: Gully tops and manhole tops made of cast iron.; (47 page(s), in English)</w:t>
            </w:r>
          </w:p>
        </w:tc>
      </w:tr>
      <w:tr w14:paraId="1CA71F0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5C650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030160E7">
            <w:pPr>
              <w:spacing w:before="120" w:after="120"/>
              <w:rPr>
                <w:b/>
              </w:rPr>
            </w:pPr>
            <w:r>
              <w:rPr>
                <w:b/>
              </w:rPr>
              <w:t>Description of content:</w:t>
            </w:r>
            <w:r>
              <w:t xml:space="preserve"> This Draft Rwanda Standard specifies requirements, sampling and test methods for gully tops and manhole tops made of cast iron with a clear opening up to and including 1 000 mm.</w:t>
            </w:r>
          </w:p>
          <w:p w14:paraId="66EF37E9">
            <w:pPr>
              <w:spacing w:before="120" w:after="120"/>
            </w:pPr>
            <w:r>
              <w:t>It is applicable to manhole tops and gully tops for use in areas subjected to pedestrian and/or vehicular traffic of class A15, B 125, C 250, D 400, E 600 and F 900.</w:t>
            </w:r>
          </w:p>
          <w:p w14:paraId="0240D61E">
            <w:pPr>
              <w:spacing w:before="120" w:after="120"/>
            </w:pPr>
            <w:r>
              <w:t>This Standard is not applicable to:</w:t>
            </w:r>
          </w:p>
          <w:p w14:paraId="0C62F9AB">
            <w:pPr>
              <w:spacing w:before="120" w:after="120"/>
            </w:pPr>
            <w:r>
              <w:rPr>
                <w:rFonts w:ascii="Cambria Math" w:hAnsi="Cambria Math" w:eastAsia="Cambria Math" w:cs="Cambria Math"/>
              </w:rPr>
              <w:t>⎯</w:t>
            </w:r>
            <w:r>
              <w:t xml:space="preserve"> cover fillings installed on site such as concrete and paving blocks;</w:t>
            </w:r>
          </w:p>
          <w:p w14:paraId="4C10D483">
            <w:pPr>
              <w:spacing w:before="120" w:after="120"/>
            </w:pPr>
            <w:r>
              <w:rPr>
                <w:rFonts w:ascii="Cambria Math" w:hAnsi="Cambria Math" w:eastAsia="Cambria Math" w:cs="Cambria Math"/>
              </w:rPr>
              <w:t>⎯</w:t>
            </w:r>
            <w:r>
              <w:t xml:space="preserve"> concave gratings for class D 400 installed in carriageways of roads or hard shoulders and concave gratings for classes F 900 and E 600;</w:t>
            </w:r>
          </w:p>
          <w:p w14:paraId="3CB589AF">
            <w:pPr>
              <w:spacing w:before="120" w:after="120"/>
            </w:pPr>
            <w:r>
              <w:rPr>
                <w:rFonts w:ascii="Cambria Math" w:hAnsi="Cambria Math" w:eastAsia="Cambria Math" w:cs="Cambria Math"/>
              </w:rPr>
              <w:t>⎯</w:t>
            </w:r>
            <w:r>
              <w:t xml:space="preserve"> gratings/covers as part of prefabricated drainage channels;</w:t>
            </w:r>
          </w:p>
          <w:p w14:paraId="1B6FE2E8">
            <w:pPr>
              <w:spacing w:before="120" w:after="120"/>
            </w:pPr>
            <w:r>
              <w:rPr>
                <w:rFonts w:ascii="Cambria Math" w:hAnsi="Cambria Math" w:eastAsia="Cambria Math" w:cs="Cambria Math"/>
              </w:rPr>
              <w:t>⎯</w:t>
            </w:r>
            <w:r>
              <w:t xml:space="preserve"> floor and roof gullies in buildings; and</w:t>
            </w:r>
          </w:p>
          <w:p w14:paraId="2E609A13">
            <w:pPr>
              <w:spacing w:before="120" w:after="120"/>
            </w:pPr>
            <w:r>
              <w:rPr>
                <w:rFonts w:ascii="Cambria Math" w:hAnsi="Cambria Math" w:eastAsia="Cambria Math" w:cs="Cambria Math"/>
              </w:rPr>
              <w:t>⎯</w:t>
            </w:r>
            <w:r>
              <w:t xml:space="preserve"> surface boxes.</w:t>
            </w:r>
          </w:p>
          <w:p w14:paraId="382567B5">
            <w:pPr>
              <w:spacing w:before="120" w:after="120"/>
            </w:pPr>
            <w:r>
              <w:t>NOTE This draft standard is not applicable in isolation but only in combination with DRS 607-1 and gives guidance for combinations of covers/grating made of cast iron with frames according to DRS 607-3, DRS 607-4, DRS 607-5 or DRS 607-6.</w:t>
            </w:r>
          </w:p>
        </w:tc>
      </w:tr>
      <w:tr w14:paraId="5B1B62B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5F43C9">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2BB85ED9">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Protection of the environment; Quality requirements; Reducing trade barriers and facilitating trade; Cost saving and productivity enhancement</w:t>
            </w:r>
          </w:p>
        </w:tc>
      </w:tr>
      <w:tr w14:paraId="570AFFB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4A766BE">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51D5373">
            <w:pPr>
              <w:spacing w:before="120" w:after="120"/>
              <w:rPr>
                <w:bCs/>
              </w:rPr>
            </w:pPr>
            <w:r>
              <w:rPr>
                <w:b/>
              </w:rPr>
              <w:t>Relevant documents:</w:t>
            </w:r>
            <w:r>
              <w:t xml:space="preserve"> </w:t>
            </w:r>
          </w:p>
          <w:p w14:paraId="50366F13">
            <w:pPr>
              <w:numPr>
                <w:ilvl w:val="0"/>
                <w:numId w:val="7"/>
              </w:numPr>
              <w:spacing w:before="120" w:after="120"/>
            </w:pPr>
            <w:r>
              <w:t>DRS 607-1, Gully tops and manhole tops for vehicular and pedestrian areas — Part 1: Definitions, classification, general principles of design, performance requirements and test methods</w:t>
            </w:r>
          </w:p>
          <w:p w14:paraId="53500C56">
            <w:pPr>
              <w:numPr>
                <w:ilvl w:val="0"/>
                <w:numId w:val="7"/>
              </w:numPr>
              <w:spacing w:before="120" w:after="120"/>
            </w:pPr>
            <w:r>
              <w:t>DRS 607-3, Gully tops and manhole tops for vehicular and pedestrian areas — Part 3: Gully tops and manhole tops made of steel or aluminium alloys</w:t>
            </w:r>
          </w:p>
          <w:p w14:paraId="40F61051">
            <w:pPr>
              <w:numPr>
                <w:ilvl w:val="0"/>
                <w:numId w:val="7"/>
              </w:numPr>
              <w:spacing w:before="120" w:after="120"/>
            </w:pPr>
            <w:r>
              <w:t>DRS 607-4, Gully tops and manhole tops for vehicular and pedestrian areas — Part 4: Gully tops and manhole tops made of steel reinforced concrete</w:t>
            </w:r>
          </w:p>
          <w:p w14:paraId="3ADCBB6F">
            <w:pPr>
              <w:numPr>
                <w:ilvl w:val="0"/>
                <w:numId w:val="7"/>
              </w:numPr>
              <w:spacing w:before="120" w:after="120"/>
            </w:pPr>
            <w:r>
              <w:t>DRS 607-5, Gully tops and manhole tops for vehicular and pedestrian areas — Part 5: Gully tops and manhole tops made of composite materials</w:t>
            </w:r>
          </w:p>
          <w:p w14:paraId="410F5A28">
            <w:pPr>
              <w:numPr>
                <w:ilvl w:val="0"/>
                <w:numId w:val="7"/>
              </w:numPr>
              <w:spacing w:before="120" w:after="120"/>
            </w:pPr>
            <w:r>
              <w:t>DRS 607-6, Gully tops and manhole tops for vehicular and pedestrian areas — Part 6: Gully tops and manhole tops made of polypropylene (PP), polyethylene (PE) or unplasticized polyvinyl chloride) (PVC-U)</w:t>
            </w:r>
          </w:p>
          <w:p w14:paraId="0502794A">
            <w:pPr>
              <w:numPr>
                <w:ilvl w:val="0"/>
                <w:numId w:val="7"/>
              </w:numPr>
              <w:spacing w:before="120" w:after="120"/>
            </w:pPr>
            <w:r>
              <w:t>RS ISO, 22965-2, Concrete — Part 2: Specification of constituent materials, production of concrete and compliance of concrete</w:t>
            </w:r>
          </w:p>
          <w:p w14:paraId="4AF3CDAB">
            <w:pPr>
              <w:numPr>
                <w:ilvl w:val="0"/>
                <w:numId w:val="7"/>
              </w:numPr>
              <w:spacing w:before="120" w:after="120"/>
            </w:pPr>
            <w:r>
              <w:t>RS ISO 185, Grey cast irons — Classification</w:t>
            </w:r>
          </w:p>
          <w:p w14:paraId="79AE2328">
            <w:pPr>
              <w:numPr>
                <w:ilvl w:val="0"/>
                <w:numId w:val="7"/>
              </w:numPr>
              <w:spacing w:before="120" w:after="120"/>
            </w:pPr>
            <w:r>
              <w:t>ISO 1083, Spheroidal graphite cast irons — Classification</w:t>
            </w:r>
            <w:bookmarkStart w:id="10" w:name="_GoBack"/>
            <w:bookmarkEnd w:id="10"/>
          </w:p>
        </w:tc>
      </w:tr>
      <w:tr w14:paraId="0DD089D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5C01B81F">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9015B85">
            <w:pPr>
              <w:spacing w:before="120" w:after="120"/>
            </w:pPr>
            <w:r>
              <w:rPr>
                <w:b/>
              </w:rPr>
              <w:t>Proposed date of adoption:</w:t>
            </w:r>
            <w:r>
              <w:t xml:space="preserve"> To be determined</w:t>
            </w:r>
          </w:p>
          <w:p w14:paraId="5420EA7C">
            <w:pPr>
              <w:spacing w:after="120"/>
            </w:pPr>
            <w:r>
              <w:rPr>
                <w:b/>
              </w:rPr>
              <w:t>Proposed date of entry into force:</w:t>
            </w:r>
            <w:r>
              <w:t xml:space="preserve"> 6 months from adoption</w:t>
            </w:r>
          </w:p>
        </w:tc>
      </w:tr>
      <w:tr w14:paraId="6CCE1B8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444BB13">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BC983B2">
            <w:pPr>
              <w:spacing w:before="120" w:after="120"/>
              <w:rPr>
                <w:rFonts w:hint="eastAsia" w:eastAsia="宋体"/>
                <w:lang w:eastAsia="zh-CN"/>
              </w:rPr>
            </w:pPr>
            <w:r>
              <w:rPr>
                <w:b/>
              </w:rPr>
              <w:t>Final date for comments:</w:t>
            </w:r>
            <w:r>
              <w:t xml:space="preserve"> 5 September 2025</w:t>
            </w:r>
            <w:r>
              <w:rPr>
                <w:rFonts w:hint="eastAsia" w:eastAsia="宋体"/>
                <w:lang w:eastAsia="zh-CN"/>
              </w:rPr>
              <w:t>，</w:t>
            </w:r>
          </w:p>
          <w:p w14:paraId="774A3821">
            <w:pPr>
              <w:tabs>
                <w:tab w:val="left" w:pos="1418"/>
                <w:tab w:val="left" w:pos="2127"/>
                <w:tab w:val="left" w:pos="2835"/>
                <w:tab w:val="left" w:pos="3402"/>
              </w:tabs>
              <w:spacing w:before="120" w:after="120"/>
              <w:rPr>
                <w:rFonts w:hint="eastAsia" w:eastAsia="宋体"/>
                <w:lang w:eastAsia="zh-CN"/>
              </w:rPr>
            </w:pPr>
            <w:r>
              <w:rPr>
                <w:b/>
                <w:bCs/>
              </w:rPr>
              <w:t>[X] 60 days from notification</w:t>
            </w:r>
            <w:r>
              <w:t xml:space="preserve"> </w:t>
            </w:r>
          </w:p>
        </w:tc>
      </w:tr>
      <w:tr w14:paraId="1ECED7C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3A03F2E6">
            <w:pPr>
              <w:keepNext/>
              <w:keepLines/>
              <w:spacing w:before="120" w:after="120"/>
              <w:jc w:val="left"/>
              <w:rPr>
                <w:b/>
              </w:rPr>
            </w:pPr>
            <w:r>
              <w:rPr>
                <w:b/>
              </w:rPr>
              <w:t>11.</w:t>
            </w:r>
          </w:p>
        </w:tc>
        <w:tc>
          <w:tcPr>
            <w:tcW w:w="8546" w:type="dxa"/>
            <w:tcBorders>
              <w:top w:val="single" w:color="auto" w:sz="6" w:space="0"/>
            </w:tcBorders>
            <w:shd w:val="clear" w:color="auto" w:fill="auto"/>
          </w:tcPr>
          <w:p w14:paraId="448A3300">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2F41290D">
            <w:pPr>
              <w:rPr>
                <w:iCs/>
              </w:rPr>
            </w:pPr>
            <w:r>
              <w:rPr>
                <w:iCs/>
              </w:rPr>
              <w:t>Rwanda Standards Board (RSB)</w:t>
            </w:r>
          </w:p>
          <w:p w14:paraId="71D0ACEA">
            <w:pPr>
              <w:rPr>
                <w:iCs/>
              </w:rPr>
            </w:pPr>
            <w:r>
              <w:rPr>
                <w:iCs/>
              </w:rPr>
              <w:t>KK 15 Rd, 49</w:t>
            </w:r>
          </w:p>
          <w:p w14:paraId="6D867B00">
            <w:pPr>
              <w:rPr>
                <w:iCs/>
                <w:lang w:val="fr-CH"/>
              </w:rPr>
            </w:pPr>
            <w:r>
              <w:rPr>
                <w:iCs/>
                <w:lang w:val="fr-CH"/>
              </w:rPr>
              <w:t>P.O.BOX 7099, Kigali, Rwanda</w:t>
            </w:r>
          </w:p>
          <w:p w14:paraId="5B29A1B7">
            <w:pPr>
              <w:rPr>
                <w:iCs/>
                <w:lang w:val="fr-CH"/>
              </w:rPr>
            </w:pPr>
            <w:r>
              <w:rPr>
                <w:iCs/>
                <w:lang w:val="fr-CH"/>
              </w:rPr>
              <w:t>Tel: +250 788303492</w:t>
            </w:r>
          </w:p>
          <w:p w14:paraId="672DC6EA">
            <w:pPr>
              <w:rPr>
                <w:iCs/>
              </w:rPr>
            </w:pPr>
            <w:r>
              <w:rPr>
                <w:iCs/>
              </w:rPr>
              <w:t xml:space="preserve">Email: </w:t>
            </w:r>
            <w:r>
              <w:fldChar w:fldCharType="begin"/>
            </w:r>
            <w:r>
              <w:instrText xml:space="preserve"> HYPERLINK "mailto:info@rsb.gov.rw" </w:instrText>
            </w:r>
            <w:r>
              <w:fldChar w:fldCharType="separate"/>
            </w:r>
            <w:r>
              <w:rPr>
                <w:iCs/>
                <w:color w:val="0000FF"/>
                <w:u w:val="single"/>
              </w:rPr>
              <w:t>info@rsb.gov.rw</w:t>
            </w:r>
            <w:r>
              <w:rPr>
                <w:iCs/>
                <w:color w:val="0000FF"/>
                <w:u w:val="single"/>
              </w:rPr>
              <w:fldChar w:fldCharType="end"/>
            </w:r>
          </w:p>
          <w:p w14:paraId="3088FA26">
            <w:pPr>
              <w:keepNext/>
              <w:keepLines/>
              <w:pBdr>
                <w:top w:val="none" w:color="auto" w:sz="0" w:space="4"/>
              </w:pBdr>
              <w:spacing w:after="120"/>
              <w:rPr>
                <w:iCs/>
              </w:rPr>
            </w:pPr>
            <w:r>
              <w:rPr>
                <w:iCs/>
              </w:rPr>
              <w:t xml:space="preserve">Website: </w:t>
            </w:r>
            <w:r>
              <w:fldChar w:fldCharType="begin"/>
            </w:r>
            <w:r>
              <w:instrText xml:space="preserve"> HYPERLINK "http://www.rsb.gov.rw" </w:instrText>
            </w:r>
            <w:r>
              <w:fldChar w:fldCharType="separate"/>
            </w:r>
            <w:r>
              <w:rPr>
                <w:rStyle w:val="242"/>
                <w:iCs/>
              </w:rPr>
              <w:t>www.rsb.gov.rw</w:t>
            </w:r>
            <w:r>
              <w:rPr>
                <w:rStyle w:val="242"/>
                <w:iCs/>
              </w:rPr>
              <w:fldChar w:fldCharType="end"/>
            </w:r>
            <w:r>
              <w:rPr>
                <w:iCs/>
              </w:rPr>
              <w:t xml:space="preserve"> </w:t>
            </w:r>
          </w:p>
          <w:p w14:paraId="70B9EE61">
            <w:pPr>
              <w:keepNext/>
              <w:keepLines/>
              <w:pBdr>
                <w:top w:val="none" w:color="auto" w:sz="0" w:space="4"/>
              </w:pBdr>
              <w:spacing w:after="120"/>
              <w:rPr>
                <w:iCs/>
              </w:rPr>
            </w:pPr>
          </w:p>
          <w:p w14:paraId="64B784A1">
            <w:pPr>
              <w:pBdr>
                <w:top w:val="none" w:color="auto" w:sz="0" w:space="4"/>
                <w:bottom w:val="none" w:color="auto" w:sz="0" w:space="4"/>
              </w:pBdr>
              <w:rPr>
                <w:iCs/>
              </w:rPr>
            </w:pPr>
            <w:r>
              <w:fldChar w:fldCharType="begin"/>
            </w:r>
            <w:r>
              <w:instrText xml:space="preserve"> HYPERLINK "https://members.wto.org/crnattachments/2025/TBT/RWA/25_04416_00_e.pdf" \t "_blank" </w:instrText>
            </w:r>
            <w:r>
              <w:fldChar w:fldCharType="separate"/>
            </w:r>
            <w:r>
              <w:rPr>
                <w:iCs/>
                <w:color w:val="0000FF"/>
                <w:u w:val="single"/>
              </w:rPr>
              <w:t>https://members.wto.org/crnattachments/2025/TBT/RWA/25_04416_00_e.pdf</w:t>
            </w:r>
            <w:r>
              <w:rPr>
                <w:iCs/>
                <w:color w:val="0000FF"/>
                <w:u w:val="single"/>
              </w:rPr>
              <w:fldChar w:fldCharType="end"/>
            </w:r>
          </w:p>
        </w:tc>
      </w:tr>
    </w:tbl>
    <w:p w14:paraId="00379594"/>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B865A">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FFDD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A4449">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BAECB">
    <w:pPr>
      <w:pStyle w:val="58"/>
      <w:pBdr>
        <w:bottom w:val="single" w:color="auto" w:sz="4" w:space="1"/>
      </w:pBdr>
      <w:tabs>
        <w:tab w:val="clear" w:pos="4513"/>
        <w:tab w:val="clear" w:pos="9027"/>
      </w:tabs>
      <w:jc w:val="center"/>
    </w:pPr>
    <w:bookmarkStart w:id="9" w:name="spsSymbolHeader"/>
    <w:r>
      <w:t>G/TBT/N/RWA/1198</w:t>
    </w:r>
    <w:bookmarkEnd w:id="9"/>
  </w:p>
  <w:p w14:paraId="090DA0AE">
    <w:pPr>
      <w:pStyle w:val="58"/>
      <w:pBdr>
        <w:bottom w:val="single" w:color="auto" w:sz="4" w:space="1"/>
      </w:pBdr>
      <w:tabs>
        <w:tab w:val="clear" w:pos="4513"/>
        <w:tab w:val="clear" w:pos="9027"/>
      </w:tabs>
      <w:jc w:val="center"/>
    </w:pPr>
  </w:p>
  <w:p w14:paraId="6AD9DB2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2B91387">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FC4E6">
    <w:pPr>
      <w:pStyle w:val="58"/>
      <w:pBdr>
        <w:bottom w:val="single" w:color="auto" w:sz="4" w:space="1"/>
      </w:pBdr>
      <w:tabs>
        <w:tab w:val="clear" w:pos="4513"/>
        <w:tab w:val="clear" w:pos="9027"/>
      </w:tabs>
      <w:jc w:val="center"/>
    </w:pPr>
    <w:r>
      <w:t>tbtSymbol</w:t>
    </w:r>
  </w:p>
  <w:p w14:paraId="4031646D">
    <w:pPr>
      <w:pStyle w:val="58"/>
      <w:pBdr>
        <w:bottom w:val="single" w:color="auto" w:sz="4" w:space="1"/>
      </w:pBdr>
      <w:tabs>
        <w:tab w:val="clear" w:pos="4513"/>
        <w:tab w:val="clear" w:pos="9027"/>
      </w:tabs>
      <w:jc w:val="center"/>
    </w:pPr>
  </w:p>
  <w:p w14:paraId="41E67E4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4286DA48">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6D3776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3C9263B0">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57071C3F">
          <w:pPr>
            <w:jc w:val="right"/>
            <w:rPr>
              <w:b/>
              <w:color w:val="FF0000"/>
              <w:szCs w:val="16"/>
            </w:rPr>
          </w:pPr>
        </w:p>
      </w:tc>
    </w:tr>
    <w:bookmarkEnd w:id="0"/>
    <w:tr w14:paraId="1E0CAF0F">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9986E14">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7C3CFEE">
          <w:pPr>
            <w:jc w:val="right"/>
            <w:rPr>
              <w:b/>
              <w:szCs w:val="16"/>
            </w:rPr>
          </w:pPr>
        </w:p>
      </w:tc>
    </w:tr>
    <w:tr w14:paraId="214D81CD">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7A4A4DE">
          <w:pPr>
            <w:jc w:val="left"/>
            <w:rPr>
              <w:lang w:eastAsia="en-GB"/>
            </w:rPr>
          </w:pPr>
        </w:p>
      </w:tc>
      <w:tc>
        <w:tcPr>
          <w:tcW w:w="5448" w:type="dxa"/>
          <w:gridSpan w:val="2"/>
          <w:shd w:val="clear" w:color="auto" w:fill="FFFFFF"/>
          <w:tcMar>
            <w:left w:w="108" w:type="dxa"/>
            <w:right w:w="108" w:type="dxa"/>
          </w:tcMar>
        </w:tcPr>
        <w:p w14:paraId="3255D15C">
          <w:pPr>
            <w:jc w:val="right"/>
            <w:rPr>
              <w:rFonts w:hint="default" w:eastAsia="宋体"/>
              <w:b/>
              <w:szCs w:val="16"/>
              <w:lang w:val="en-US" w:eastAsia="zh-CN"/>
            </w:rPr>
          </w:pPr>
          <w:bookmarkStart w:id="1" w:name="bmkSymbols"/>
          <w:r>
            <w:rPr>
              <w:b/>
              <w:szCs w:val="16"/>
            </w:rPr>
            <w:t>G/TBT/N/RWA/1</w:t>
          </w:r>
          <w:bookmarkEnd w:id="1"/>
          <w:r>
            <w:rPr>
              <w:rFonts w:hint="eastAsia" w:eastAsia="宋体"/>
              <w:b/>
              <w:szCs w:val="16"/>
              <w:lang w:val="en-US" w:eastAsia="zh-CN"/>
            </w:rPr>
            <w:t>232</w:t>
          </w:r>
        </w:p>
      </w:tc>
    </w:tr>
    <w:tr w14:paraId="2415EDC7">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357964F9"/>
      </w:tc>
      <w:tc>
        <w:tcPr>
          <w:tcW w:w="5448" w:type="dxa"/>
          <w:gridSpan w:val="2"/>
          <w:shd w:val="clear" w:color="auto" w:fill="FFFFFF"/>
          <w:tcMar>
            <w:left w:w="108" w:type="dxa"/>
            <w:right w:w="108" w:type="dxa"/>
          </w:tcMar>
          <w:vAlign w:val="center"/>
        </w:tcPr>
        <w:p w14:paraId="0D237396">
          <w:pPr>
            <w:jc w:val="right"/>
            <w:rPr>
              <w:szCs w:val="16"/>
            </w:rPr>
          </w:pPr>
          <w:bookmarkStart w:id="2" w:name="spsDateDistribution"/>
          <w:bookmarkStart w:id="3" w:name="bmkDate"/>
          <w:r>
            <w:rPr>
              <w:szCs w:val="16"/>
            </w:rPr>
            <w:t>7 July 2025</w:t>
          </w:r>
          <w:bookmarkEnd w:id="2"/>
          <w:bookmarkEnd w:id="3"/>
        </w:p>
      </w:tc>
    </w:tr>
    <w:tr w14:paraId="7DC6B10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84FAC2E">
          <w:pPr>
            <w:jc w:val="left"/>
            <w:rPr>
              <w:b/>
            </w:rPr>
          </w:pPr>
          <w:bookmarkStart w:id="4" w:name="bmkSerial"/>
          <w:r>
            <w:rPr>
              <w:b w:val="0"/>
              <w:color w:val="FF0000"/>
            </w:rPr>
            <w:t>(25-</w:t>
          </w:r>
          <w:r>
            <w:rPr>
              <w:rFonts w:hint="eastAsia" w:eastAsia="宋体"/>
              <w:b w:val="0"/>
              <w:color w:val="FF0000"/>
              <w:lang w:val="en-US" w:eastAsia="zh-CN"/>
            </w:rPr>
            <w:t>4379</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38D4617">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3</w:t>
          </w:r>
          <w:r>
            <w:rPr>
              <w:bCs/>
              <w:szCs w:val="16"/>
            </w:rPr>
            <w:fldChar w:fldCharType="end"/>
          </w:r>
          <w:bookmarkEnd w:id="5"/>
        </w:p>
      </w:tc>
    </w:tr>
    <w:tr w14:paraId="495DB5D7">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4A83319D">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26133179">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2B15CC81">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07D19"/>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0985"/>
    <w:rsid w:val="00725DF8"/>
    <w:rsid w:val="00730370"/>
    <w:rsid w:val="00736D06"/>
    <w:rsid w:val="00745146"/>
    <w:rsid w:val="00756BA6"/>
    <w:rsid w:val="007577E3"/>
    <w:rsid w:val="00760DB3"/>
    <w:rsid w:val="007624E8"/>
    <w:rsid w:val="00796783"/>
    <w:rsid w:val="007B4DE8"/>
    <w:rsid w:val="007C24B7"/>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26211CA"/>
    <w:rsid w:val="43585AF1"/>
    <w:rsid w:val="491868E5"/>
    <w:rsid w:val="5A1A3B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uiPriority="99" w:name="index 1"/>
    <w:lsdException w:uiPriority="99" w:name="index 2"/>
    <w:lsdException w:uiPriority="99" w:name="index 3"/>
    <w:lsdException w:qFormat="1" w:uiPriority="99" w:name="index 4"/>
    <w:lsdException w:qFormat="1" w:uiPriority="99" w:name="index 5"/>
    <w:lsdException w:qFormat="1"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qFormat="1" w:unhideWhenUsed="0" w:uiPriority="39" w:semiHidden="0" w:name="toc 3"/>
    <w:lsdException w:unhideWhenUsed="0" w:uiPriority="39" w:semiHidden="0" w:name="toc 4"/>
    <w:lsdException w:qFormat="1" w:unhideWhenUsed="0" w:uiPriority="39" w:semiHidden="0" w:name="toc 5"/>
    <w:lsdException w:unhideWhenUsed="0" w:uiPriority="39" w:semiHidden="0" w:name="toc 6"/>
    <w:lsdException w:qFormat="1" w:unhideWhenUsed="0" w:uiPriority="39" w:semiHidden="0" w:name="toc 7"/>
    <w:lsdException w:unhideWhenUsed="0" w:uiPriority="39" w:semiHidden="0" w:name="toc 8"/>
    <w:lsdException w:unhideWhenUsed="0" w:uiPriority="39" w:semiHidden="0" w:name="toc 9"/>
    <w:lsdException w:qFormat="1" w:uiPriority="99" w:name="Normal Indent"/>
    <w:lsdException w:unhideWhenUsed="0" w:uiPriority="5" w:semiHidden="0" w:name="footnote text"/>
    <w:lsdException w:qFormat="1" w:uiPriority="99" w:semiHidden="0" w:name="annotation text"/>
    <w:lsdException w:unhideWhenUsed="0" w:uiPriority="3" w:semiHidden="0" w:name="header"/>
    <w:lsdException w:unhideWhenUsed="0" w:uiPriority="3" w:semiHidden="0" w:name="footer"/>
    <w:lsdException w:uiPriority="99" w:name="index heading"/>
    <w:lsdException w:qFormat="1" w:unhideWhenUsed="0" w:uiPriority="6" w:semiHidden="0" w:name="caption"/>
    <w:lsdException w:unhideWhenUsed="0" w:uiPriority="39" w:semiHidden="0" w:name="table of figures"/>
    <w:lsdException w:qFormat="1" w:uiPriority="99" w:name="envelope address"/>
    <w:lsdException w:uiPriority="99" w:name="envelope return"/>
    <w:lsdException w:unhideWhenUsed="0" w:uiPriority="5" w:semiHidden="0" w:name="footnote reference"/>
    <w:lsdException w:qFormat="1" w:uiPriority="99" w:name="annotation reference"/>
    <w:lsdException w:uiPriority="99" w:name="line number"/>
    <w:lsdException w:uiPriority="99" w:name="page number"/>
    <w:lsdException w:unhideWhenUsed="0" w:uiPriority="49" w:semiHidden="0" w:name="endnote reference"/>
    <w:lsdException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uiPriority="99" w:name="List"/>
    <w:lsdException w:qFormat="1" w:unhideWhenUsed="0" w:uiPriority="1" w:semiHidden="0" w:name="List Bullet"/>
    <w:lsdException w:qFormat="1" w:uiPriority="49" w:name="List Number"/>
    <w:lsdException w:qFormat="1" w:uiPriority="99" w:name="List 2"/>
    <w:lsdException w:qFormat="1" w:uiPriority="99" w:name="List 3"/>
    <w:lsdException w:uiPriority="99" w:name="List 4"/>
    <w:lsdException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unhideWhenUsed="0" w:uiPriority="1" w:semiHidden="0" w:name="List Bullet 5"/>
    <w:lsdException w:qFormat="1" w:uiPriority="49" w:name="List Number 2"/>
    <w:lsdException w:qFormat="1" w:uiPriority="49" w:name="List Number 3"/>
    <w:lsdException w:uiPriority="49" w:name="List Number 4"/>
    <w:lsdException w:uiPriority="49" w:name="List Number 5"/>
    <w:lsdException w:qFormat="1" w:unhideWhenUsed="0" w:uiPriority="5" w:semiHidden="0" w:name="Title"/>
    <w:lsdException w:qFormat="1"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uiPriority="99" w:name="List Continue 3"/>
    <w:lsdException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qFormat="1" w:uiPriority="99" w:name="Document Map"/>
    <w:lsdException w:uiPriority="99" w:semiHidden="0" w:name="Plain Text"/>
    <w:lsdException w:qFormat="1" w:uiPriority="99" w:name="E-mail Signature"/>
    <w:lsdException w:uiPriority="99" w:name="Normal (Web)"/>
    <w:lsdException w:uiPriority="99" w:name="HTML Acronym"/>
    <w:lsdException w:qFormat="1" w:uiPriority="99" w:name="HTML Address"/>
    <w:lsdException w:uiPriority="99" w:name="HTML Cite"/>
    <w:lsdException w:uiPriority="99" w:name="HTML Code"/>
    <w:lsdException w:uiPriority="99" w:name="HTML Definition"/>
    <w:lsdException w:qFormat="1"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uiPriority="99" w:name="Balloon Text"/>
    <w:lsdException w:qFormat="1" w:unhideWhenUsed="0" w:uiPriority="59" w:semiHidden="0" w:name="Table Grid"/>
    <w:lsdException w:qFormat="1" w:uiPriority="99" w:name="Table Theme"/>
    <w:lsdException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475</Words>
  <Characters>2748</Characters>
  <Lines>38</Lines>
  <Paragraphs>10</Paragraphs>
  <TotalTime>0</TotalTime>
  <ScaleCrop>false</ScaleCrop>
  <LinksUpToDate>false</LinksUpToDate>
  <CharactersWithSpaces>3186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2025-05-28T09:36:00Z</dcterms:created>
  <dc:creator>mark louie medidas</dc:creator>
  <dc:description>LDIMD - DTU</dc:description>
  <cp:lastModifiedBy> 譞譞</cp:lastModifiedBy>
  <dcterms:modified xsi:type="dcterms:W3CDTF">2025-07-07T15:05:12Z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0D37C1BE53704B2BA36CAC4E0E2D27BA_12</vt:lpwstr>
  </property>
</Properties>
</file>