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3AF268">
      <w:pPr>
        <w:pStyle w:val="84"/>
        <w:rPr>
          <w:caps w:val="0"/>
          <w:kern w:val="0"/>
        </w:rPr>
      </w:pPr>
      <w:r>
        <w:rPr>
          <w:caps w:val="0"/>
          <w:kern w:val="0"/>
        </w:rPr>
        <w:t>NOTIFICATION</w:t>
      </w:r>
    </w:p>
    <w:p w14:paraId="277254E7">
      <w:pPr>
        <w:jc w:val="center"/>
      </w:pPr>
      <w:r>
        <w:t>The following notification is being circulated in accordance with Article 10.6</w:t>
      </w:r>
    </w:p>
    <w:p w14:paraId="682FE294"/>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3F13A1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10143E9B">
            <w:pPr>
              <w:spacing w:before="120" w:after="120"/>
              <w:jc w:val="left"/>
            </w:pPr>
            <w:r>
              <w:rPr>
                <w:b/>
              </w:rPr>
              <w:t>1.</w:t>
            </w:r>
          </w:p>
        </w:tc>
        <w:tc>
          <w:tcPr>
            <w:tcW w:w="8546" w:type="dxa"/>
            <w:tcBorders>
              <w:bottom w:val="single" w:color="auto" w:sz="6" w:space="0"/>
            </w:tcBorders>
            <w:shd w:val="clear" w:color="auto" w:fill="auto"/>
          </w:tcPr>
          <w:p w14:paraId="73B276EE">
            <w:pPr>
              <w:spacing w:before="120" w:after="120"/>
            </w:pPr>
            <w:r>
              <w:rPr>
                <w:b/>
              </w:rPr>
              <w:t>Notifying Member:</w:t>
            </w:r>
            <w:r>
              <w:t xml:space="preserve"> </w:t>
            </w:r>
            <w:r>
              <w:rPr>
                <w:u w:val="single"/>
              </w:rPr>
              <w:t>RUSSIAN FEDERATION</w:t>
            </w:r>
          </w:p>
          <w:p w14:paraId="20897243">
            <w:pPr>
              <w:spacing w:after="120"/>
            </w:pPr>
            <w:r>
              <w:rPr>
                <w:b/>
              </w:rPr>
              <w:t>If applicable, name of local government involved (Article 3.2 and 7.2):</w:t>
            </w:r>
            <w:r>
              <w:t xml:space="preserve"> </w:t>
            </w:r>
          </w:p>
        </w:tc>
      </w:tr>
      <w:tr w14:paraId="269D52F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84EAF0A">
            <w:pPr>
              <w:spacing w:before="120" w:after="120"/>
              <w:jc w:val="left"/>
            </w:pPr>
            <w:r>
              <w:rPr>
                <w:b/>
              </w:rPr>
              <w:t>2.</w:t>
            </w:r>
          </w:p>
        </w:tc>
        <w:tc>
          <w:tcPr>
            <w:tcW w:w="8546" w:type="dxa"/>
            <w:tcBorders>
              <w:top w:val="single" w:color="auto" w:sz="6" w:space="0"/>
              <w:bottom w:val="single" w:color="auto" w:sz="6" w:space="0"/>
            </w:tcBorders>
            <w:shd w:val="clear" w:color="auto" w:fill="auto"/>
          </w:tcPr>
          <w:p w14:paraId="2D9E0A4B">
            <w:pPr>
              <w:spacing w:before="120" w:after="120"/>
            </w:pPr>
            <w:r>
              <w:rPr>
                <w:b/>
              </w:rPr>
              <w:t>Agency responsible:</w:t>
            </w:r>
            <w:r>
              <w:t xml:space="preserve"> </w:t>
            </w:r>
          </w:p>
          <w:p w14:paraId="203FD71F">
            <w:r>
              <w:t>Russian Scientific and Technical Center for Information on Standardization, Metrology and Conformity Assessment (Standartinform, National enquiry point for the TBT Agreement)</w:t>
            </w:r>
          </w:p>
          <w:p w14:paraId="4C2C7696">
            <w:r>
              <w:t>Tel: +7(495) 531-26-59</w:t>
            </w:r>
          </w:p>
          <w:p w14:paraId="60CE266A">
            <w:r>
              <w:t xml:space="preserve">E-mail: </w:t>
            </w:r>
            <w:r>
              <w:fldChar w:fldCharType="begin"/>
            </w:r>
            <w:r>
              <w:instrText xml:space="preserve"> HYPERLINK "mailto:info@gostinfo.ru" </w:instrText>
            </w:r>
            <w:r>
              <w:fldChar w:fldCharType="separate"/>
            </w:r>
            <w:r>
              <w:rPr>
                <w:color w:val="0000FF"/>
                <w:u w:val="single"/>
              </w:rPr>
              <w:t>info@gostinfo.ru</w:t>
            </w:r>
            <w:r>
              <w:rPr>
                <w:color w:val="0000FF"/>
                <w:u w:val="single"/>
              </w:rPr>
              <w:fldChar w:fldCharType="end"/>
            </w:r>
          </w:p>
          <w:p w14:paraId="592004E3">
            <w:pPr>
              <w:spacing w:after="120"/>
            </w:pPr>
            <w:r>
              <w:t xml:space="preserve">Website: </w:t>
            </w:r>
            <w:r>
              <w:fldChar w:fldCharType="begin"/>
            </w:r>
            <w:r>
              <w:instrText xml:space="preserve"> HYPERLINK "http://www.gostinfo.ru" </w:instrText>
            </w:r>
            <w:r>
              <w:fldChar w:fldCharType="separate"/>
            </w:r>
            <w:r>
              <w:rPr>
                <w:rStyle w:val="242"/>
              </w:rPr>
              <w:t>www.gostinfo.ru</w:t>
            </w:r>
            <w:r>
              <w:fldChar w:fldCharType="end"/>
            </w:r>
          </w:p>
          <w:p w14:paraId="0CD6C702">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CDCE8C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C85CE1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34410155">
            <w:pPr>
              <w:spacing w:before="120" w:after="120"/>
            </w:pPr>
            <w:r>
              <w:rPr>
                <w:b/>
              </w:rPr>
              <w:t>Notified under Article 2.9.2 [X], 2.10.1 [ ], 5.6.2 [ ], 5.7.1 [ ], 3.2 [ ], 7.2 [ ], other:</w:t>
            </w:r>
            <w:r>
              <w:t xml:space="preserve"> </w:t>
            </w:r>
          </w:p>
        </w:tc>
      </w:tr>
      <w:tr w14:paraId="4408009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1DAFE67">
            <w:pPr>
              <w:spacing w:before="120" w:after="120"/>
              <w:jc w:val="left"/>
            </w:pPr>
            <w:r>
              <w:rPr>
                <w:b/>
              </w:rPr>
              <w:t>4.</w:t>
            </w:r>
          </w:p>
        </w:tc>
        <w:tc>
          <w:tcPr>
            <w:tcW w:w="8546" w:type="dxa"/>
            <w:tcBorders>
              <w:top w:val="single" w:color="auto" w:sz="6" w:space="0"/>
              <w:bottom w:val="single" w:color="auto" w:sz="6" w:space="0"/>
            </w:tcBorders>
            <w:shd w:val="clear" w:color="auto" w:fill="auto"/>
          </w:tcPr>
          <w:p w14:paraId="495E5C4E">
            <w:pPr>
              <w:spacing w:before="120" w:after="120"/>
            </w:pPr>
            <w:r>
              <w:rPr>
                <w:b/>
              </w:rPr>
              <w:t>Products covered (HS or CCCN where applicable, otherwise national tariff heading. ICS numbers may be provided in addition, where applicable):</w:t>
            </w:r>
            <w:r>
              <w:t xml:space="preserve"> Explosives and Products on their Basis</w:t>
            </w:r>
          </w:p>
        </w:tc>
      </w:tr>
      <w:tr w14:paraId="6E9FBB1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20B930D">
            <w:pPr>
              <w:spacing w:before="120" w:after="120"/>
              <w:jc w:val="left"/>
            </w:pPr>
            <w:r>
              <w:rPr>
                <w:b/>
              </w:rPr>
              <w:t>5.</w:t>
            </w:r>
          </w:p>
        </w:tc>
        <w:tc>
          <w:tcPr>
            <w:tcW w:w="8546" w:type="dxa"/>
            <w:tcBorders>
              <w:top w:val="single" w:color="auto" w:sz="6" w:space="0"/>
              <w:bottom w:val="single" w:color="auto" w:sz="6" w:space="0"/>
            </w:tcBorders>
            <w:shd w:val="clear" w:color="auto" w:fill="auto"/>
          </w:tcPr>
          <w:p w14:paraId="1115064F">
            <w:pPr>
              <w:spacing w:before="120" w:after="120"/>
            </w:pPr>
            <w:r>
              <w:rPr>
                <w:b/>
              </w:rPr>
              <w:t>Title, number of pages and language(s) of the notified document:</w:t>
            </w:r>
            <w:r>
              <w:t xml:space="preserve"> Draft amendments to the Technical Regulation of the Customs Union «On safety of Explosives and Products on their Basis» (TR CU 028/2012) in terms of the establishment of forms, schemes, and procedures for conformity assessment based on standard conformity assessment schemes (the Decision of the Council of the Eurasian Economic Commission No. 44 (April 18, 2018)); (15 page(s), in Russian)</w:t>
            </w:r>
          </w:p>
        </w:tc>
      </w:tr>
      <w:tr w14:paraId="6F5730D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0D999FC">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34E76D99">
            <w:pPr>
              <w:spacing w:before="120" w:after="120"/>
              <w:rPr>
                <w:b/>
              </w:rPr>
            </w:pPr>
            <w:r>
              <w:rPr>
                <w:b/>
              </w:rPr>
              <w:t>Description of content:</w:t>
            </w:r>
            <w:r>
              <w:t xml:space="preserve"> - clarification of the provisions of the Article 2 of the TR CU 028/2012 "Definitions";</w:t>
            </w:r>
          </w:p>
          <w:p w14:paraId="2D64575B">
            <w:pPr>
              <w:spacing w:before="120" w:after="120"/>
            </w:pPr>
            <w:r>
              <w:t>- statement of the procedure for conformity assessment in the Article 7 of the TR CU 028/2012 "Conformity assessment" based on standard conformity assessment schemes</w:t>
            </w:r>
          </w:p>
          <w:p w14:paraId="7D78108D">
            <w:pPr>
              <w:spacing w:before="120" w:after="120"/>
            </w:pPr>
            <w:r>
              <w:t>(the Decision of the Council of the Eurasian Economic Commission No. 44 (April 18, 2018));</w:t>
            </w:r>
          </w:p>
          <w:p w14:paraId="23C4AF7C">
            <w:pPr>
              <w:spacing w:before="120" w:after="120"/>
              <w:rPr>
                <w:b/>
              </w:rPr>
            </w:pPr>
            <w:r>
              <w:t>- statement of the Article 8 of the TR CU 028/2012 "Marking with a single product circulation mark on the Union market"</w:t>
            </w:r>
          </w:p>
        </w:tc>
      </w:tr>
      <w:tr w14:paraId="4558200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F8CF89">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2A3EC6AA">
            <w:pPr>
              <w:spacing w:before="120" w:after="120"/>
              <w:rPr>
                <w:b/>
              </w:rPr>
            </w:pPr>
            <w:r>
              <w:rPr>
                <w:b/>
              </w:rPr>
              <w:t>Objective and rationale, including the nature of urgent problems where applicable:</w:t>
            </w:r>
            <w:r>
              <w:t xml:space="preserve"> Protection of human life and health and prevention of actions misleading consumers; elimination of the possibility of double interpretation of certain provisions of the TR CU 028/2012 and harmonization of conformity assessment procedures of the TR CU 028/2012 in term s of establishing forms, schemes and procedures for conformity assessment based on standard conformity assessment schemes;</w:t>
            </w:r>
          </w:p>
        </w:tc>
      </w:tr>
      <w:tr w14:paraId="1C45F59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60D19631">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37BB3FC">
            <w:pPr>
              <w:spacing w:before="120" w:after="120"/>
              <w:rPr>
                <w:bCs/>
              </w:rPr>
            </w:pPr>
            <w:r>
              <w:rPr>
                <w:b/>
              </w:rPr>
              <w:t>Relevant documents:</w:t>
            </w:r>
            <w:r>
              <w:t xml:space="preserve"> </w:t>
            </w:r>
          </w:p>
          <w:p w14:paraId="73042A2A">
            <w:pPr>
              <w:spacing w:before="120" w:after="120"/>
            </w:pPr>
            <w:r>
              <w:t>Draft amendments to the Technical Regulation of the Customs Union «On safety of Explosives and Products on their Basis» (TR CU 028/2012) in terms of the establishment of forms, schemes, and procedures for conformity assessment based on standard conformity assessment schemes (the Decision of the Council of the Eurasian Economic Commission No. 44 (April 18, 2018))»</w:t>
            </w:r>
          </w:p>
          <w:p w14:paraId="01D285AC">
            <w:pPr>
              <w:spacing w:before="120" w:after="120"/>
            </w:pPr>
            <w:r>
              <w:fldChar w:fldCharType="begin"/>
            </w:r>
            <w:r>
              <w:instrText xml:space="preserve"> HYPERLINK "https://regulation.eaeunion.org/pd/3069/" </w:instrText>
            </w:r>
            <w:r>
              <w:fldChar w:fldCharType="separate"/>
            </w:r>
            <w:r>
              <w:rPr>
                <w:color w:val="0000FF"/>
                <w:u w:val="single"/>
              </w:rPr>
              <w:t>https://regulation.eaeunion.org/pd/3069/</w:t>
            </w:r>
            <w:r>
              <w:rPr>
                <w:color w:val="0000FF"/>
                <w:u w:val="single"/>
              </w:rPr>
              <w:fldChar w:fldCharType="end"/>
            </w:r>
          </w:p>
          <w:p w14:paraId="045EC711">
            <w:pPr>
              <w:spacing w:before="120" w:after="120"/>
            </w:pPr>
            <w:r>
              <w:t>The Technical Regulation of the Customs Union «On safety of Explosives and Products on their Basis» (TR CU 028/2012)</w:t>
            </w:r>
          </w:p>
          <w:p w14:paraId="5F5DB6CA">
            <w:pPr>
              <w:spacing w:before="120" w:after="120"/>
            </w:pPr>
            <w:r>
              <w:fldChar w:fldCharType="begin"/>
            </w:r>
            <w:r>
              <w:instrText xml:space="preserve"> HYPERLINK "https://eec.eaeunion.org/comission/department/deptexreg/tr/bezopVzriv.php" \t "_blank" </w:instrText>
            </w:r>
            <w:r>
              <w:fldChar w:fldCharType="separate"/>
            </w:r>
            <w:r>
              <w:rPr>
                <w:color w:val="0000FF"/>
                <w:u w:val="single"/>
              </w:rPr>
              <w:t>https://eec.eaeunion.org/comission/department/deptexreg/tr/bezopVzriv.php</w:t>
            </w:r>
            <w:r>
              <w:rPr>
                <w:color w:val="0000FF"/>
                <w:u w:val="single"/>
              </w:rPr>
              <w:fldChar w:fldCharType="end"/>
            </w:r>
          </w:p>
        </w:tc>
      </w:tr>
      <w:tr w14:paraId="4C6EFFC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2EA7B24">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882E826">
            <w:pPr>
              <w:spacing w:before="120" w:after="120"/>
            </w:pPr>
            <w:r>
              <w:rPr>
                <w:b/>
              </w:rPr>
              <w:t>Proposed date of adoption:</w:t>
            </w:r>
            <w:r>
              <w:t xml:space="preserve"> To be determined</w:t>
            </w:r>
          </w:p>
          <w:p w14:paraId="1110CC01">
            <w:pPr>
              <w:spacing w:after="120"/>
            </w:pPr>
            <w:r>
              <w:rPr>
                <w:b/>
              </w:rPr>
              <w:t>Proposed date of entry into force:</w:t>
            </w:r>
            <w:r>
              <w:t xml:space="preserve"> To be determined</w:t>
            </w:r>
          </w:p>
        </w:tc>
      </w:tr>
      <w:tr w14:paraId="6F42ABC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585993">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D715124">
            <w:pPr>
              <w:spacing w:before="120" w:after="120"/>
              <w:rPr>
                <w:rFonts w:hint="eastAsia" w:eastAsia="宋体"/>
                <w:lang w:eastAsia="zh-CN"/>
              </w:rPr>
            </w:pPr>
            <w:r>
              <w:rPr>
                <w:b/>
              </w:rPr>
              <w:t>Final date for comments:</w:t>
            </w:r>
            <w:r>
              <w:t xml:space="preserve"> 10 August 2025</w:t>
            </w:r>
            <w:r>
              <w:rPr>
                <w:rFonts w:hint="eastAsia" w:eastAsia="宋体"/>
                <w:lang w:eastAsia="zh-CN"/>
              </w:rPr>
              <w:t>，</w:t>
            </w:r>
          </w:p>
          <w:p w14:paraId="26916CA0">
            <w:pPr>
              <w:spacing w:before="120" w:after="120"/>
            </w:pPr>
            <w:r>
              <w:rPr>
                <w:b/>
                <w:bCs/>
              </w:rPr>
              <w:t>Contact details of agency or authority designated to handle comments regarding the notification:</w:t>
            </w:r>
            <w:r>
              <w:t xml:space="preserve"> </w:t>
            </w:r>
          </w:p>
          <w:p w14:paraId="34010E18">
            <w:r>
              <w:t>Russian Scientific and Technical Center for Information on Standardization, Metrology and Conformity Assessment (Standartinform, National enquiry point for the TBT Agreement)</w:t>
            </w:r>
          </w:p>
          <w:p w14:paraId="27866BA3">
            <w:r>
              <w:t>Tel: +7(495) 531-26-59</w:t>
            </w:r>
          </w:p>
          <w:p w14:paraId="6ADC198A">
            <w:r>
              <w:t xml:space="preserve">E-mail: </w:t>
            </w:r>
            <w:r>
              <w:fldChar w:fldCharType="begin"/>
            </w:r>
            <w:r>
              <w:instrText xml:space="preserve"> HYPERLINK "mailto:info@gostinfo.ru" </w:instrText>
            </w:r>
            <w:r>
              <w:fldChar w:fldCharType="separate"/>
            </w:r>
            <w:r>
              <w:rPr>
                <w:color w:val="0000FF"/>
                <w:u w:val="single"/>
              </w:rPr>
              <w:t>info@gostinfo.ru</w:t>
            </w:r>
            <w:r>
              <w:rPr>
                <w:color w:val="0000FF"/>
                <w:u w:val="single"/>
              </w:rPr>
              <w:fldChar w:fldCharType="end"/>
            </w:r>
          </w:p>
          <w:p w14:paraId="0A2D5A33">
            <w:pPr>
              <w:spacing w:before="120" w:after="120"/>
              <w:rPr>
                <w:rFonts w:hint="eastAsia" w:eastAsia="宋体"/>
                <w:lang w:eastAsia="zh-CN"/>
              </w:rPr>
            </w:pPr>
            <w:r>
              <w:t>Website: www.gostinfo.ru</w:t>
            </w:r>
          </w:p>
        </w:tc>
      </w:tr>
      <w:tr w14:paraId="555CDA3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BC4684D">
            <w:pPr>
              <w:keepNext/>
              <w:keepLines/>
              <w:spacing w:before="120" w:after="120"/>
              <w:jc w:val="left"/>
              <w:rPr>
                <w:b/>
              </w:rPr>
            </w:pPr>
            <w:r>
              <w:rPr>
                <w:b/>
              </w:rPr>
              <w:t>11.</w:t>
            </w:r>
          </w:p>
        </w:tc>
        <w:tc>
          <w:tcPr>
            <w:tcW w:w="8546" w:type="dxa"/>
            <w:tcBorders>
              <w:top w:val="single" w:color="auto" w:sz="6" w:space="0"/>
            </w:tcBorders>
            <w:shd w:val="clear" w:color="auto" w:fill="auto"/>
          </w:tcPr>
          <w:p w14:paraId="6EF51232">
            <w:pPr>
              <w:keepNext/>
              <w:keepLines/>
              <w:spacing w:before="120" w:after="120"/>
              <w:rPr>
                <w:bCs/>
                <w:color w:val="0000FF"/>
                <w:u w:val="single"/>
              </w:rPr>
            </w:pPr>
            <w:r>
              <w:rPr>
                <w:b/>
              </w:rPr>
              <w:t>Texts available from: National enquiry point [ ] or address, telephone and fax numbers and email and website addresses, if available, of other body:</w:t>
            </w:r>
            <w:r>
              <w:rPr>
                <w:bCs/>
              </w:rPr>
              <w:t xml:space="preserve"> </w:t>
            </w:r>
            <w:bookmarkStart w:id="10" w:name="_GoBack"/>
            <w:bookmarkEnd w:id="10"/>
          </w:p>
          <w:p w14:paraId="3AC8E4A0">
            <w:pPr>
              <w:keepNext/>
              <w:keepLines/>
              <w:numPr>
                <w:numId w:val="0"/>
              </w:numPr>
              <w:spacing w:after="120"/>
              <w:rPr>
                <w:bCs/>
                <w:color w:val="0000FF"/>
                <w:u w:val="single"/>
              </w:rPr>
            </w:pPr>
            <w:r>
              <w:fldChar w:fldCharType="begin"/>
            </w:r>
            <w:r>
              <w:instrText xml:space="preserve"> HYPERLINK "https://regulation.eaeunion.org/pd/3069/" \t "_blank" </w:instrText>
            </w:r>
            <w:r>
              <w:fldChar w:fldCharType="separate"/>
            </w:r>
            <w:r>
              <w:rPr>
                <w:iCs/>
                <w:color w:val="0000FF"/>
                <w:u w:val="single"/>
              </w:rPr>
              <w:t>https://regulation.eaeunion.org/pd/3069/</w:t>
            </w:r>
            <w:r>
              <w:rPr>
                <w:iCs/>
                <w:color w:val="0000FF"/>
                <w:u w:val="single"/>
              </w:rPr>
              <w:fldChar w:fldCharType="end"/>
            </w:r>
          </w:p>
        </w:tc>
      </w:tr>
    </w:tbl>
    <w:p w14:paraId="662C106C"/>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F1130">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3B428">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0E84E">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C03C7">
    <w:pPr>
      <w:pStyle w:val="58"/>
      <w:pBdr>
        <w:bottom w:val="single" w:color="auto" w:sz="4" w:space="1"/>
      </w:pBdr>
      <w:tabs>
        <w:tab w:val="clear" w:pos="4513"/>
        <w:tab w:val="clear" w:pos="9027"/>
      </w:tabs>
      <w:jc w:val="center"/>
    </w:pPr>
    <w:bookmarkStart w:id="0" w:name="spsSymbolHeader"/>
    <w:r>
      <w:t>G/TBT/N/RUS/171</w:t>
    </w:r>
    <w:bookmarkEnd w:id="0"/>
  </w:p>
  <w:p w14:paraId="75A9B0FF">
    <w:pPr>
      <w:pStyle w:val="58"/>
      <w:pBdr>
        <w:bottom w:val="single" w:color="auto" w:sz="4" w:space="1"/>
      </w:pBdr>
      <w:tabs>
        <w:tab w:val="clear" w:pos="4513"/>
        <w:tab w:val="clear" w:pos="9027"/>
      </w:tabs>
      <w:jc w:val="center"/>
    </w:pPr>
  </w:p>
  <w:p w14:paraId="09F8205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EFCC308">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97D98">
    <w:pPr>
      <w:pStyle w:val="58"/>
      <w:pBdr>
        <w:bottom w:val="single" w:color="auto" w:sz="4" w:space="1"/>
      </w:pBdr>
      <w:tabs>
        <w:tab w:val="clear" w:pos="4513"/>
        <w:tab w:val="clear" w:pos="9027"/>
      </w:tabs>
      <w:jc w:val="center"/>
    </w:pPr>
    <w:r>
      <w:t>tbtSymbol</w:t>
    </w:r>
  </w:p>
  <w:p w14:paraId="3B841E4A">
    <w:pPr>
      <w:pStyle w:val="58"/>
      <w:pBdr>
        <w:bottom w:val="single" w:color="auto" w:sz="4" w:space="1"/>
      </w:pBdr>
      <w:tabs>
        <w:tab w:val="clear" w:pos="4513"/>
        <w:tab w:val="clear" w:pos="9027"/>
      </w:tabs>
      <w:jc w:val="center"/>
    </w:pPr>
  </w:p>
  <w:p w14:paraId="568AD047">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26651401">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F26562A">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773F1BC">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560D814D">
          <w:pPr>
            <w:jc w:val="right"/>
            <w:rPr>
              <w:b/>
              <w:color w:val="FF0000"/>
              <w:szCs w:val="16"/>
            </w:rPr>
          </w:pPr>
        </w:p>
      </w:tc>
    </w:tr>
    <w:bookmarkEnd w:id="1"/>
    <w:tr w14:paraId="6BF44973">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5CC47860">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84AE306">
          <w:pPr>
            <w:jc w:val="right"/>
            <w:rPr>
              <w:b/>
              <w:szCs w:val="16"/>
            </w:rPr>
          </w:pPr>
        </w:p>
      </w:tc>
    </w:tr>
    <w:tr w14:paraId="6BAB9256">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15B2ACC0">
          <w:pPr>
            <w:jc w:val="left"/>
            <w:rPr>
              <w:lang w:eastAsia="en-GB"/>
            </w:rPr>
          </w:pPr>
        </w:p>
      </w:tc>
      <w:tc>
        <w:tcPr>
          <w:tcW w:w="5448" w:type="dxa"/>
          <w:gridSpan w:val="2"/>
          <w:shd w:val="clear" w:color="auto" w:fill="FFFFFF"/>
          <w:tcMar>
            <w:left w:w="108" w:type="dxa"/>
            <w:right w:w="108" w:type="dxa"/>
          </w:tcMar>
        </w:tcPr>
        <w:p w14:paraId="029A11DA">
          <w:pPr>
            <w:jc w:val="right"/>
            <w:rPr>
              <w:rFonts w:hint="eastAsia" w:eastAsia="宋体"/>
              <w:b/>
              <w:szCs w:val="16"/>
              <w:lang w:eastAsia="zh-CN"/>
            </w:rPr>
          </w:pPr>
          <w:bookmarkStart w:id="2" w:name="bmkSymbols"/>
          <w:r>
            <w:rPr>
              <w:b/>
              <w:szCs w:val="16"/>
            </w:rPr>
            <w:t>G/TBT/N/RUS/17</w:t>
          </w:r>
          <w:bookmarkEnd w:id="2"/>
          <w:r>
            <w:rPr>
              <w:rFonts w:hint="eastAsia" w:eastAsia="宋体"/>
              <w:b/>
              <w:szCs w:val="16"/>
              <w:lang w:val="en-US" w:eastAsia="zh-CN"/>
            </w:rPr>
            <w:t>2</w:t>
          </w:r>
        </w:p>
      </w:tc>
    </w:tr>
    <w:tr w14:paraId="4D63B04D">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3019EBA6"/>
      </w:tc>
      <w:tc>
        <w:tcPr>
          <w:tcW w:w="5448" w:type="dxa"/>
          <w:gridSpan w:val="2"/>
          <w:shd w:val="clear" w:color="auto" w:fill="FFFFFF"/>
          <w:tcMar>
            <w:left w:w="108" w:type="dxa"/>
            <w:right w:w="108" w:type="dxa"/>
          </w:tcMar>
          <w:vAlign w:val="center"/>
        </w:tcPr>
        <w:p w14:paraId="6D721A31">
          <w:pPr>
            <w:jc w:val="right"/>
            <w:rPr>
              <w:szCs w:val="16"/>
            </w:rPr>
          </w:pPr>
          <w:bookmarkStart w:id="3" w:name="bmkDate"/>
          <w:bookmarkStart w:id="4" w:name="spsDateDistribution"/>
          <w:r>
            <w:rPr>
              <w:szCs w:val="16"/>
            </w:rPr>
            <w:t>7 July 2025</w:t>
          </w:r>
          <w:bookmarkEnd w:id="3"/>
          <w:bookmarkEnd w:id="4"/>
        </w:p>
      </w:tc>
    </w:tr>
    <w:tr w14:paraId="6E848011">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046F6666">
          <w:pPr>
            <w:jc w:val="left"/>
            <w:rPr>
              <w:b/>
            </w:rPr>
          </w:pPr>
          <w:bookmarkStart w:id="5" w:name="bmkSerial"/>
          <w:r>
            <w:rPr>
              <w:b w:val="0"/>
              <w:color w:val="FF0000"/>
            </w:rPr>
            <w:t>(25-</w:t>
          </w:r>
          <w:r>
            <w:rPr>
              <w:rFonts w:hint="eastAsia" w:eastAsia="宋体"/>
              <w:b w:val="0"/>
              <w:color w:val="FF0000"/>
              <w:lang w:val="en-US" w:eastAsia="zh-CN"/>
            </w:rPr>
            <w:t>4386</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40B80429">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246A1D71">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C3210F2">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57C10F05">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15F83DBD">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45E8A"/>
    <w:rsid w:val="00155128"/>
    <w:rsid w:val="001621F4"/>
    <w:rsid w:val="00182B84"/>
    <w:rsid w:val="0018646B"/>
    <w:rsid w:val="00186B9C"/>
    <w:rsid w:val="00191D12"/>
    <w:rsid w:val="001A464A"/>
    <w:rsid w:val="001C73EB"/>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130F"/>
    <w:rsid w:val="004A23F8"/>
    <w:rsid w:val="004A3FB5"/>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611"/>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6770B"/>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806E5"/>
    <w:rsid w:val="00A9543B"/>
    <w:rsid w:val="00AA332C"/>
    <w:rsid w:val="00AA4D5C"/>
    <w:rsid w:val="00AA646C"/>
    <w:rsid w:val="00AB0E5D"/>
    <w:rsid w:val="00AC27F8"/>
    <w:rsid w:val="00AC6C6E"/>
    <w:rsid w:val="00AD3A28"/>
    <w:rsid w:val="00AD4C72"/>
    <w:rsid w:val="00AE118B"/>
    <w:rsid w:val="00AE2372"/>
    <w:rsid w:val="00AE2AEE"/>
    <w:rsid w:val="00AE2D29"/>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720932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unhideWhenUsed="0" w:uiPriority="39" w:semiHidden="0" w:name="toc 9"/>
    <w:lsdException w:qFormat="1" w:uiPriority="99" w:name="Normal Indent"/>
    <w:lsdException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uiPriority="99" w:name="List"/>
    <w:lsdException w:qFormat="1" w:unhideWhenUsed="0" w:uiPriority="1" w:semiHidden="0" w:name="List Bullet"/>
    <w:lsdException w:qFormat="1" w:uiPriority="49" w:name="List Number"/>
    <w:lsdException w:qFormat="1" w:uiPriority="99" w:name="List 2"/>
    <w:lsdException w:uiPriority="99" w:name="List 3"/>
    <w:lsdException w:qFormat="1" w:uiPriority="99" w:name="List 4"/>
    <w:lsdException w:qFormat="1" w:uiPriority="99" w:name="List 5"/>
    <w:lsdException w:qFormat="1" w:unhideWhenUsed="0" w:uiPriority="1" w:semiHidden="0" w:name="List Bullet 2"/>
    <w:lsdException w:unhideWhenUsed="0" w:uiPriority="1" w:semiHidden="0" w:name="List Bullet 3"/>
    <w:lsdException w:qFormat="1" w:unhideWhenUsed="0" w:uiPriority="1" w:semiHidden="0" w:name="List Bullet 4"/>
    <w:lsdException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unhideWhenUsed="0" w:uiPriority="67" w:semiHidden="0" w:name="Medium Grid 1"/>
    <w:lsdException w:unhideWhenUsed="0" w:uiPriority="68" w:semiHidden="0" w:name="Medium Grid 2"/>
    <w:lsdException w:qFormat="1" w:unhideWhenUsed="0" w:uiPriority="69" w:semiHidden="0" w:name="Medium Grid 3"/>
    <w:lsdException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unhideWhenUsed="0" w:uiPriority="61" w:semiHidden="0" w:name="Light List Accent 1"/>
    <w:lsdException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unhideWhenUsed="0" w:uiPriority="68" w:semiHidden="0" w:name="Medium Grid 2 Accent 1"/>
    <w:lsdException w:qFormat="1" w:unhideWhenUsed="0" w:uiPriority="69" w:semiHidden="0" w:name="Medium Grid 3 Accent 1"/>
    <w:lsdException w:qFormat="1" w:unhideWhenUsed="0" w:uiPriority="70" w:semiHidden="0" w:name="Dark List Accent 1"/>
    <w:lsdException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unhideWhenUsed="0" w:uiPriority="60" w:semiHidden="0" w:name="Light Shading Accent 3"/>
    <w:lsdException w:qFormat="1" w:unhideWhenUsed="0" w:uiPriority="61" w:semiHidden="0" w:name="Light List Accent 3"/>
    <w:lsdException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unhideWhenUsed="0" w:uiPriority="65" w:semiHidden="0" w:name="Medium List 1 Accent 3"/>
    <w:lsdException w:qFormat="1" w:unhideWhenUsed="0" w:uiPriority="66" w:semiHidden="0" w:name="Medium List 2 Accent 3"/>
    <w:lsdException w:unhideWhenUsed="0" w:uiPriority="67" w:semiHidden="0" w:name="Medium Grid 1 Accent 3"/>
    <w:lsdException w:qFormat="1" w:unhideWhenUsed="0" w:uiPriority="68" w:semiHidden="0" w:name="Medium Grid 2 Accent 3"/>
    <w:lsdException w:unhideWhenUsed="0" w:uiPriority="69" w:semiHidden="0" w:name="Medium Grid 3 Accent 3"/>
    <w:lsdException w:qFormat="1" w:unhideWhenUsed="0" w:uiPriority="70" w:semiHidden="0" w:name="Dark List Accent 3"/>
    <w:lsdException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unhideWhenUsed="0" w:uiPriority="61" w:semiHidden="0" w:name="Light List Accent 4"/>
    <w:lsdException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uiPriority w:val="1"/>
  </w:style>
  <w:style w:type="table" w:default="1" w:styleId="88">
    <w:name w:val="Normal Table"/>
    <w:semiHidden/>
    <w:unhideWhenUsed/>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BCACD-9B39-43A0-B803-7C6B8C3A1490}">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409</Words>
  <Characters>2565</Characters>
  <Lines>22</Lines>
  <Paragraphs>6</Paragraphs>
  <TotalTime>0</TotalTime>
  <ScaleCrop>false</ScaleCrop>
  <LinksUpToDate>false</LinksUpToDate>
  <CharactersWithSpaces>2933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2025-05-16T07:47:00Z</dcterms:created>
  <dc:creator>mark louie medidas</dc:creator>
  <dc:description>LDIMD - DTU</dc:description>
  <cp:lastModifiedBy> 譞譞</cp:lastModifiedBy>
  <dcterms:modified xsi:type="dcterms:W3CDTF">2025-07-07T14:53:07Z</dcterms:modified>
  <dc:title>NOTIFICATION</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8121F56454624596BFD689449E77929B_12</vt:lpwstr>
  </property>
</Properties>
</file>