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66CE1">
      <w:pPr>
        <w:pStyle w:val="84"/>
        <w:rPr>
          <w:caps w:val="0"/>
          <w:kern w:val="0"/>
        </w:rPr>
      </w:pPr>
      <w:r>
        <w:rPr>
          <w:caps w:val="0"/>
          <w:kern w:val="0"/>
        </w:rPr>
        <w:t>NOTIFICATION</w:t>
      </w:r>
    </w:p>
    <w:p w14:paraId="6BDBFE94">
      <w:pPr>
        <w:jc w:val="center"/>
      </w:pPr>
      <w:r>
        <w:t>The following notification is being circulated in accordance with Article 10.6</w:t>
      </w:r>
    </w:p>
    <w:p w14:paraId="71C263E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EDC75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9809E84">
            <w:pPr>
              <w:spacing w:before="120" w:after="120"/>
              <w:jc w:val="left"/>
            </w:pPr>
            <w:r>
              <w:rPr>
                <w:b/>
              </w:rPr>
              <w:t>1.</w:t>
            </w:r>
          </w:p>
        </w:tc>
        <w:tc>
          <w:tcPr>
            <w:tcW w:w="8546" w:type="dxa"/>
            <w:tcBorders>
              <w:bottom w:val="single" w:color="auto" w:sz="6" w:space="0"/>
            </w:tcBorders>
            <w:shd w:val="clear" w:color="auto" w:fill="auto"/>
          </w:tcPr>
          <w:p w14:paraId="664E0DEF">
            <w:pPr>
              <w:spacing w:before="120" w:after="120"/>
            </w:pPr>
            <w:r>
              <w:rPr>
                <w:b/>
              </w:rPr>
              <w:t>Notifying Member:</w:t>
            </w:r>
            <w:r>
              <w:t xml:space="preserve"> </w:t>
            </w:r>
            <w:r>
              <w:rPr>
                <w:u w:val="single"/>
              </w:rPr>
              <w:t>THE STATE OF KUWAIT</w:t>
            </w:r>
          </w:p>
          <w:p w14:paraId="5B797DD0">
            <w:pPr>
              <w:spacing w:after="120"/>
            </w:pPr>
            <w:r>
              <w:rPr>
                <w:b/>
              </w:rPr>
              <w:t>If applicable, name of local government involved (Article 3.2 and 7.2):</w:t>
            </w:r>
            <w:r>
              <w:t xml:space="preserve"> </w:t>
            </w:r>
          </w:p>
        </w:tc>
      </w:tr>
      <w:tr w14:paraId="6F94D06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8CAB31">
            <w:pPr>
              <w:spacing w:before="120" w:after="120"/>
              <w:jc w:val="left"/>
            </w:pPr>
            <w:r>
              <w:rPr>
                <w:b/>
              </w:rPr>
              <w:t>2.</w:t>
            </w:r>
          </w:p>
        </w:tc>
        <w:tc>
          <w:tcPr>
            <w:tcW w:w="8546" w:type="dxa"/>
            <w:tcBorders>
              <w:top w:val="single" w:color="auto" w:sz="6" w:space="0"/>
              <w:bottom w:val="single" w:color="auto" w:sz="6" w:space="0"/>
            </w:tcBorders>
            <w:shd w:val="clear" w:color="auto" w:fill="auto"/>
          </w:tcPr>
          <w:p w14:paraId="119054B0">
            <w:pPr>
              <w:spacing w:before="120" w:after="120"/>
            </w:pPr>
            <w:r>
              <w:rPr>
                <w:b/>
              </w:rPr>
              <w:t>Agency responsible:</w:t>
            </w:r>
            <w:r>
              <w:t xml:space="preserve"> </w:t>
            </w:r>
          </w:p>
          <w:p w14:paraId="0C60C2F5">
            <w:r>
              <w:t>Public Authority for Industry (PAI)</w:t>
            </w:r>
          </w:p>
          <w:p w14:paraId="6EEB8640">
            <w:pPr>
              <w:spacing w:after="120"/>
            </w:pPr>
            <w:r>
              <w:t>Kuwait Standard &amp; Metrology Department (KOWSMD)</w:t>
            </w:r>
          </w:p>
          <w:p w14:paraId="77E0366C">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A1A90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B0D0E4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EE8F561">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5A480C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82C7823">
            <w:pPr>
              <w:spacing w:before="120" w:after="120"/>
              <w:jc w:val="left"/>
            </w:pPr>
            <w:r>
              <w:rPr>
                <w:b/>
              </w:rPr>
              <w:t>4.</w:t>
            </w:r>
          </w:p>
        </w:tc>
        <w:tc>
          <w:tcPr>
            <w:tcW w:w="8546" w:type="dxa"/>
            <w:tcBorders>
              <w:top w:val="single" w:color="auto" w:sz="6" w:space="0"/>
              <w:bottom w:val="single" w:color="auto" w:sz="6" w:space="0"/>
            </w:tcBorders>
            <w:shd w:val="clear" w:color="auto" w:fill="auto"/>
          </w:tcPr>
          <w:p w14:paraId="5D09C143">
            <w:pPr>
              <w:spacing w:before="120" w:after="120"/>
            </w:pPr>
            <w:r>
              <w:rPr>
                <w:b/>
              </w:rPr>
              <w:t>Products covered (HS or CCCN where applicable, otherwise national tariff heading. ICS numbers may be provided in addition, where applicable):</w:t>
            </w:r>
            <w:r>
              <w:t xml:space="preserve"> All products fall under scope of "Standard Specification for Mineral Spirits (Petroleum Spirits) (Hydrocarbon Dry Cleaning Solvent)". (ICS code(s): 97.060; 75.160.20)</w:t>
            </w:r>
          </w:p>
        </w:tc>
      </w:tr>
      <w:tr w14:paraId="70BAD0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916FFBA">
            <w:pPr>
              <w:spacing w:before="120" w:after="120"/>
              <w:jc w:val="left"/>
            </w:pPr>
            <w:r>
              <w:rPr>
                <w:b/>
              </w:rPr>
              <w:t>5.</w:t>
            </w:r>
          </w:p>
        </w:tc>
        <w:tc>
          <w:tcPr>
            <w:tcW w:w="8546" w:type="dxa"/>
            <w:tcBorders>
              <w:top w:val="single" w:color="auto" w:sz="6" w:space="0"/>
              <w:bottom w:val="single" w:color="auto" w:sz="6" w:space="0"/>
            </w:tcBorders>
            <w:shd w:val="clear" w:color="auto" w:fill="auto"/>
          </w:tcPr>
          <w:p w14:paraId="4A1F9ED8">
            <w:pPr>
              <w:spacing w:before="120" w:after="120"/>
            </w:pPr>
            <w:r>
              <w:rPr>
                <w:b/>
              </w:rPr>
              <w:t>Title, number of pages and language(s) of the notified document:</w:t>
            </w:r>
            <w:r>
              <w:t xml:space="preserve"> Standard Specification for Mineral Spirits (Petroleum Spirits) (Hydrocarbon Dry Cleaning Solvent); (4 page(s), in English)</w:t>
            </w:r>
          </w:p>
        </w:tc>
      </w:tr>
      <w:tr w14:paraId="570B7D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D6A75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F7428BD">
            <w:pPr>
              <w:spacing w:before="120" w:after="120"/>
              <w:rPr>
                <w:b/>
              </w:rPr>
            </w:pPr>
            <w:r>
              <w:rPr>
                <w:b/>
              </w:rPr>
              <w:t>Description of content:</w:t>
            </w:r>
            <w:r>
              <w:t xml:space="preserve"> This specification covers hydrocarbon solvents, normally petroleum distillates, used in coatings and dry-cleaning industries. These solvents are also known as mineral spirits and as Stoddard solvents when used in dry cleaning. The following are the types of mineral spirits: Type I, Type II, Type III, Type IV, Class A, Class B, and Class C. The physical and chemical properties of mineral spirits shall conform to the requirements specified for: aromatic content, commercial reference, appearance, flash point, color, kauri-butanol value, bromine number, odor, doctor test, distillation, residue for distillation, copper corrosion, and apparent specific gravity. These properties shall be tested with the specified test methods.</w:t>
            </w:r>
          </w:p>
        </w:tc>
      </w:tr>
      <w:tr w14:paraId="029677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ECA8E61">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C513D3">
            <w:pPr>
              <w:spacing w:before="120" w:after="120"/>
              <w:rPr>
                <w:b/>
              </w:rPr>
            </w:pPr>
            <w:r>
              <w:rPr>
                <w:b/>
              </w:rPr>
              <w:t>Objective and rationale, including the nature of urgent problems where applicable:</w:t>
            </w:r>
            <w:r>
              <w:t xml:space="preserve"> Prevention of deceptive practices and consumer protection; Protection of human health or safety; Protection of the environment</w:t>
            </w:r>
          </w:p>
        </w:tc>
      </w:tr>
      <w:tr w14:paraId="2693529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7D8C9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28887141">
            <w:pPr>
              <w:spacing w:before="120" w:after="120"/>
              <w:rPr>
                <w:bCs/>
              </w:rPr>
            </w:pPr>
            <w:r>
              <w:rPr>
                <w:b/>
              </w:rPr>
              <w:t>Relevant documents:</w:t>
            </w:r>
            <w:r>
              <w:t xml:space="preserve"> </w:t>
            </w:r>
          </w:p>
          <w:p w14:paraId="156D8BA7">
            <w:pPr>
              <w:spacing w:before="120" w:after="120"/>
            </w:pPr>
            <w:r>
              <w:t>GSO ASTM D235:2024 (Standard Specification for Mineral Spirits (Petroleum Spirits) (Hydrocarbon Dry Cleaning Solvent))</w:t>
            </w:r>
            <w:bookmarkStart w:id="11" w:name="_GoBack"/>
            <w:bookmarkEnd w:id="11"/>
          </w:p>
        </w:tc>
      </w:tr>
      <w:tr w14:paraId="5744C23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CD5662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21BC5EC1">
            <w:pPr>
              <w:spacing w:before="120" w:after="120"/>
            </w:pPr>
            <w:r>
              <w:rPr>
                <w:b/>
              </w:rPr>
              <w:t>Proposed date of adoption:</w:t>
            </w:r>
            <w:r>
              <w:t xml:space="preserve"> 30 days from final date for comments</w:t>
            </w:r>
          </w:p>
          <w:p w14:paraId="528BC656">
            <w:pPr>
              <w:spacing w:after="120"/>
            </w:pPr>
            <w:r>
              <w:rPr>
                <w:b/>
              </w:rPr>
              <w:t>Proposed date of entry into force:</w:t>
            </w:r>
            <w:r>
              <w:t xml:space="preserve"> 6 months from adoption</w:t>
            </w:r>
          </w:p>
        </w:tc>
      </w:tr>
      <w:tr w14:paraId="2998C9A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DC4E5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C0CA5FD">
            <w:pPr>
              <w:spacing w:before="120" w:after="120"/>
              <w:rPr>
                <w:rFonts w:hint="eastAsia" w:eastAsia="宋体"/>
                <w:bCs/>
                <w:lang w:eastAsia="zh-CN"/>
              </w:rPr>
            </w:pPr>
            <w:r>
              <w:rPr>
                <w:b/>
              </w:rPr>
              <w:t>Final date for comments:</w:t>
            </w:r>
            <w:r>
              <w:t xml:space="preserve"> 5 September 2025</w:t>
            </w:r>
            <w:r>
              <w:rPr>
                <w:rFonts w:hint="eastAsia" w:eastAsia="宋体"/>
                <w:lang w:eastAsia="zh-CN"/>
              </w:rPr>
              <w:t>，</w:t>
            </w:r>
          </w:p>
          <w:p w14:paraId="1005B86B">
            <w:pPr>
              <w:spacing w:before="120" w:after="120"/>
            </w:pPr>
            <w:r>
              <w:rPr>
                <w:b/>
                <w:bCs/>
              </w:rPr>
              <w:t>[X] 60 days from notification</w:t>
            </w:r>
          </w:p>
        </w:tc>
      </w:tr>
      <w:tr w14:paraId="2BE0DC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57D62DC">
            <w:pPr>
              <w:keepNext/>
              <w:keepLines/>
              <w:spacing w:before="120" w:after="120"/>
              <w:jc w:val="left"/>
              <w:rPr>
                <w:b/>
              </w:rPr>
            </w:pPr>
            <w:r>
              <w:rPr>
                <w:b/>
              </w:rPr>
              <w:t>11.</w:t>
            </w:r>
          </w:p>
        </w:tc>
        <w:tc>
          <w:tcPr>
            <w:tcW w:w="8546" w:type="dxa"/>
            <w:tcBorders>
              <w:top w:val="single" w:color="auto" w:sz="6" w:space="0"/>
            </w:tcBorders>
            <w:shd w:val="clear" w:color="auto" w:fill="auto"/>
          </w:tcPr>
          <w:p w14:paraId="1646858A">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483785AB">
            <w:r>
              <w:t>Public Authority for Industry (PAI)</w:t>
            </w:r>
          </w:p>
          <w:p w14:paraId="150FDEAB">
            <w:r>
              <w:t>P.O.Box:4690 Safat</w:t>
            </w:r>
          </w:p>
          <w:p w14:paraId="1CDE0F07">
            <w:r>
              <w:t>13047 Kuwait</w:t>
            </w:r>
          </w:p>
          <w:p w14:paraId="0DF34F45">
            <w:r>
              <w:t>Tel.:(+965) 25302622</w:t>
            </w:r>
          </w:p>
          <w:p w14:paraId="4A34C7BB">
            <w:r>
              <w:t xml:space="preserve">E-mail: </w:t>
            </w:r>
            <w:r>
              <w:fldChar w:fldCharType="begin"/>
            </w:r>
            <w:r>
              <w:instrText xml:space="preserve"> HYPERLINK "mailto:Enquiry_point@pai.gov.kw" </w:instrText>
            </w:r>
            <w:r>
              <w:fldChar w:fldCharType="separate"/>
            </w:r>
            <w:r>
              <w:rPr>
                <w:color w:val="0000FF"/>
                <w:u w:val="single"/>
              </w:rPr>
              <w:t>Enquiry_point@pai.gov.kw</w:t>
            </w:r>
            <w:r>
              <w:rPr>
                <w:color w:val="0000FF"/>
                <w:u w:val="single"/>
              </w:rPr>
              <w:fldChar w:fldCharType="end"/>
            </w:r>
          </w:p>
          <w:p w14:paraId="7A5E877A">
            <w:pPr>
              <w:keepNext/>
              <w:keepLines/>
              <w:pBdr>
                <w:top w:val="none" w:color="auto" w:sz="0" w:space="4"/>
              </w:pBdr>
              <w:spacing w:after="120"/>
              <w:rPr>
                <w:color w:val="0000FF"/>
                <w:u w:val="single"/>
              </w:rPr>
            </w:pPr>
            <w:r>
              <w:t xml:space="preserve">Website: </w:t>
            </w:r>
            <w:r>
              <w:fldChar w:fldCharType="begin"/>
            </w:r>
            <w:r>
              <w:instrText xml:space="preserve"> HYPERLINK "http://www.pai.gov.kw" \t "_blank" </w:instrText>
            </w:r>
            <w:r>
              <w:fldChar w:fldCharType="separate"/>
            </w:r>
            <w:r>
              <w:rPr>
                <w:color w:val="0000FF"/>
                <w:u w:val="single"/>
              </w:rPr>
              <w:t>http://www.pai.gov.kw</w:t>
            </w:r>
            <w:r>
              <w:rPr>
                <w:color w:val="0000FF"/>
                <w:u w:val="single"/>
              </w:rPr>
              <w:fldChar w:fldCharType="end"/>
            </w:r>
          </w:p>
          <w:p w14:paraId="3C0B6CAD">
            <w:pPr>
              <w:keepNext/>
              <w:keepLines/>
              <w:pBdr>
                <w:top w:val="none" w:color="auto" w:sz="0" w:space="4"/>
              </w:pBdr>
              <w:spacing w:after="120"/>
              <w:rPr>
                <w:color w:val="0000FF"/>
                <w:u w:val="single"/>
              </w:rPr>
            </w:pPr>
          </w:p>
          <w:p w14:paraId="32BD8CD2">
            <w:pPr>
              <w:keepNext/>
              <w:keepLines/>
              <w:pBdr>
                <w:top w:val="none" w:color="auto" w:sz="0" w:space="4"/>
              </w:pBdr>
              <w:spacing w:after="120"/>
              <w:rPr>
                <w:bCs/>
              </w:rPr>
            </w:pPr>
            <w:r>
              <w:fldChar w:fldCharType="begin"/>
            </w:r>
            <w:r>
              <w:instrText xml:space="preserve"> HYPERLINK "https://members.wto.org/crnattachments/2025/TBT/KWT/25_04479_00_e.pdf" \t "_blank" </w:instrText>
            </w:r>
            <w:r>
              <w:fldChar w:fldCharType="separate"/>
            </w:r>
            <w:r>
              <w:rPr>
                <w:iCs/>
                <w:color w:val="0000FF"/>
                <w:u w:val="single"/>
              </w:rPr>
              <w:t>https://members.wto.org/crnattachments/2025/TBT/KWT/25_04479_00_e.pdf</w:t>
            </w:r>
            <w:r>
              <w:rPr>
                <w:iCs/>
                <w:color w:val="0000FF"/>
                <w:u w:val="single"/>
              </w:rPr>
              <w:fldChar w:fldCharType="end"/>
            </w:r>
          </w:p>
        </w:tc>
      </w:tr>
    </w:tbl>
    <w:p w14:paraId="6C787E6E"/>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0562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595EE">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DF5A6">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46893">
    <w:pPr>
      <w:pStyle w:val="58"/>
      <w:pBdr>
        <w:bottom w:val="single" w:color="auto" w:sz="4" w:space="1"/>
      </w:pBdr>
      <w:tabs>
        <w:tab w:val="clear" w:pos="4513"/>
        <w:tab w:val="clear" w:pos="9027"/>
      </w:tabs>
      <w:jc w:val="center"/>
    </w:pPr>
    <w:bookmarkStart w:id="10" w:name="spsSymbolHeader"/>
    <w:r>
      <w:t>G/TBT/N/KWT/698</w:t>
    </w:r>
    <w:bookmarkEnd w:id="10"/>
  </w:p>
  <w:p w14:paraId="0A7CBC0D">
    <w:pPr>
      <w:pStyle w:val="58"/>
      <w:pBdr>
        <w:bottom w:val="single" w:color="auto" w:sz="4" w:space="1"/>
      </w:pBdr>
      <w:tabs>
        <w:tab w:val="clear" w:pos="4513"/>
        <w:tab w:val="clear" w:pos="9027"/>
      </w:tabs>
      <w:jc w:val="center"/>
    </w:pPr>
  </w:p>
  <w:p w14:paraId="6E4700B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4F4071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57260">
    <w:pPr>
      <w:pStyle w:val="58"/>
      <w:pBdr>
        <w:bottom w:val="single" w:color="auto" w:sz="4" w:space="1"/>
      </w:pBdr>
      <w:tabs>
        <w:tab w:val="clear" w:pos="4513"/>
        <w:tab w:val="clear" w:pos="9027"/>
      </w:tabs>
      <w:jc w:val="center"/>
    </w:pPr>
    <w:r>
      <w:t>tbtSymbol</w:t>
    </w:r>
  </w:p>
  <w:p w14:paraId="66F1A703">
    <w:pPr>
      <w:pStyle w:val="58"/>
      <w:pBdr>
        <w:bottom w:val="single" w:color="auto" w:sz="4" w:space="1"/>
      </w:pBdr>
      <w:tabs>
        <w:tab w:val="clear" w:pos="4513"/>
        <w:tab w:val="clear" w:pos="9027"/>
      </w:tabs>
      <w:jc w:val="center"/>
    </w:pPr>
  </w:p>
  <w:p w14:paraId="5FA10BA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048351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333AB2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F273D90">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71937A">
          <w:pPr>
            <w:jc w:val="right"/>
            <w:rPr>
              <w:b/>
              <w:color w:val="FF0000"/>
              <w:szCs w:val="16"/>
            </w:rPr>
          </w:pPr>
        </w:p>
      </w:tc>
    </w:tr>
    <w:bookmarkEnd w:id="0"/>
    <w:tr w14:paraId="29BE975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03AC0E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9082D4C">
          <w:pPr>
            <w:jc w:val="right"/>
            <w:rPr>
              <w:b/>
              <w:szCs w:val="16"/>
            </w:rPr>
          </w:pPr>
        </w:p>
      </w:tc>
    </w:tr>
    <w:tr w14:paraId="18CCC648">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FC109E7">
          <w:pPr>
            <w:jc w:val="left"/>
            <w:rPr>
              <w:lang w:eastAsia="en-GB"/>
            </w:rPr>
          </w:pPr>
        </w:p>
      </w:tc>
      <w:tc>
        <w:tcPr>
          <w:tcW w:w="5448" w:type="dxa"/>
          <w:gridSpan w:val="2"/>
          <w:shd w:val="clear" w:color="auto" w:fill="FFFFFF"/>
          <w:tcMar>
            <w:left w:w="108" w:type="dxa"/>
            <w:right w:w="108" w:type="dxa"/>
          </w:tcMar>
        </w:tcPr>
        <w:p w14:paraId="7BA58ADA">
          <w:pPr>
            <w:jc w:val="right"/>
            <w:rPr>
              <w:rFonts w:hint="default" w:eastAsia="宋体"/>
              <w:b/>
              <w:szCs w:val="16"/>
              <w:lang w:val="en-US" w:eastAsia="zh-CN"/>
            </w:rPr>
          </w:pPr>
          <w:bookmarkStart w:id="1" w:name="bmkSymbols"/>
          <w:r>
            <w:rPr>
              <w:b/>
              <w:szCs w:val="16"/>
            </w:rPr>
            <w:t>G/TBT/N/KWT/</w:t>
          </w:r>
          <w:bookmarkEnd w:id="1"/>
          <w:r>
            <w:rPr>
              <w:rFonts w:hint="eastAsia" w:eastAsia="宋体"/>
              <w:b/>
              <w:szCs w:val="16"/>
              <w:lang w:val="en-US" w:eastAsia="zh-CN"/>
            </w:rPr>
            <w:t>726</w:t>
          </w:r>
        </w:p>
      </w:tc>
    </w:tr>
    <w:tr w14:paraId="2C652B5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2DF8004"/>
      </w:tc>
      <w:tc>
        <w:tcPr>
          <w:tcW w:w="5448" w:type="dxa"/>
          <w:gridSpan w:val="2"/>
          <w:shd w:val="clear" w:color="auto" w:fill="FFFFFF"/>
          <w:tcMar>
            <w:left w:w="108" w:type="dxa"/>
            <w:right w:w="108" w:type="dxa"/>
          </w:tcMar>
          <w:vAlign w:val="center"/>
        </w:tcPr>
        <w:p w14:paraId="533ED459">
          <w:pPr>
            <w:jc w:val="right"/>
            <w:rPr>
              <w:szCs w:val="16"/>
            </w:rPr>
          </w:pPr>
          <w:bookmarkStart w:id="2" w:name="spsDateDistribution"/>
          <w:bookmarkEnd w:id="2"/>
          <w:bookmarkStart w:id="3" w:name="bmkDate"/>
          <w:bookmarkEnd w:id="3"/>
          <w:r>
            <w:rPr>
              <w:rFonts w:hint="eastAsia" w:eastAsia="宋体"/>
              <w:szCs w:val="16"/>
              <w:lang w:val="en-US" w:eastAsia="zh-CN"/>
            </w:rPr>
            <w:t>7</w:t>
          </w:r>
          <w:r>
            <w:rPr>
              <w:szCs w:val="16"/>
            </w:rPr>
            <w:t xml:space="preserve"> July 2025</w:t>
          </w:r>
        </w:p>
      </w:tc>
    </w:tr>
    <w:tr w14:paraId="0E71A4F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03C33EC">
          <w:pPr>
            <w:jc w:val="left"/>
            <w:rPr>
              <w:b/>
            </w:rPr>
          </w:pPr>
          <w:bookmarkStart w:id="4" w:name="bmkSerial"/>
          <w:r>
            <w:rPr>
              <w:color w:val="FF0000"/>
              <w:szCs w:val="16"/>
            </w:rPr>
            <w:t>(</w:t>
          </w:r>
          <w:bookmarkStart w:id="5" w:name="spsSerialNumber"/>
          <w:bookmarkEnd w:id="5"/>
          <w:r>
            <w:rPr>
              <w:color w:val="FF0000"/>
              <w:szCs w:val="16"/>
            </w:rPr>
            <w:t>24-</w:t>
          </w:r>
          <w:r>
            <w:rPr>
              <w:rFonts w:hint="eastAsia" w:eastAsia="宋体"/>
              <w:color w:val="FF0000"/>
              <w:szCs w:val="16"/>
              <w:lang w:val="en-US" w:eastAsia="zh-CN"/>
            </w:rPr>
            <w:t>4393</w:t>
          </w:r>
          <w:r>
            <w:rPr>
              <w:color w:val="FF0000"/>
              <w:szCs w:val="16"/>
            </w:rPr>
            <w:t>)</w:t>
          </w:r>
          <w:bookmarkEnd w:id="4"/>
        </w:p>
      </w:tc>
      <w:tc>
        <w:tcPr>
          <w:tcW w:w="3325" w:type="dxa"/>
          <w:tcBorders>
            <w:bottom w:val="single" w:color="auto" w:sz="4" w:space="0"/>
          </w:tcBorders>
          <w:tcMar>
            <w:top w:w="0" w:type="dxa"/>
            <w:left w:w="108" w:type="dxa"/>
            <w:bottom w:w="57" w:type="dxa"/>
            <w:right w:w="108" w:type="dxa"/>
          </w:tcMar>
          <w:vAlign w:val="bottom"/>
        </w:tcPr>
        <w:p w14:paraId="60A0A89E">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6"/>
        </w:p>
      </w:tc>
    </w:tr>
    <w:tr w14:paraId="7E068A9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8D28354">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7F05010F">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5BFFC3A8">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1ED6"/>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34E9"/>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E6FDF"/>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A22DF"/>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5298"/>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6655EE4"/>
    <w:rsid w:val="19684D71"/>
    <w:rsid w:val="1A8714E9"/>
    <w:rsid w:val="45014E73"/>
    <w:rsid w:val="6E9119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BFCF3351-2547-4B7D-A17C-BC07B33AFA10}">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446</Words>
  <Characters>2646</Characters>
  <Lines>18</Lines>
  <Paragraphs>5</Paragraphs>
  <TotalTime>0</TotalTime>
  <ScaleCrop>false</ScaleCrop>
  <LinksUpToDate>false</LinksUpToDate>
  <CharactersWithSpaces>3052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2024-10-28T12:37:00Z</dcterms:created>
  <dc:description>LDIMD - DTU</dc:description>
  <dcterms:modified xsi:type="dcterms:W3CDTF">2025-07-07T14:45:16Z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828AA068733A4F5498308B4B037E69D3_12</vt:lpwstr>
  </property>
</Properties>
</file>