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966CE1">
      <w:pPr>
        <w:pStyle w:val="84"/>
        <w:rPr>
          <w:caps w:val="0"/>
          <w:kern w:val="0"/>
        </w:rPr>
      </w:pPr>
      <w:r>
        <w:rPr>
          <w:caps w:val="0"/>
          <w:kern w:val="0"/>
        </w:rPr>
        <w:t>NOTIFICATION</w:t>
      </w:r>
    </w:p>
    <w:p w14:paraId="6BDBFE94">
      <w:pPr>
        <w:jc w:val="center"/>
      </w:pPr>
      <w:r>
        <w:t>The following notification is being circulated in accordance with Article 10.6</w:t>
      </w:r>
    </w:p>
    <w:p w14:paraId="71C263EE"/>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5EDC754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49809E84">
            <w:pPr>
              <w:spacing w:before="120" w:after="120"/>
              <w:jc w:val="left"/>
            </w:pPr>
            <w:r>
              <w:rPr>
                <w:b/>
              </w:rPr>
              <w:t>1.</w:t>
            </w:r>
          </w:p>
        </w:tc>
        <w:tc>
          <w:tcPr>
            <w:tcW w:w="8546" w:type="dxa"/>
            <w:tcBorders>
              <w:bottom w:val="single" w:color="auto" w:sz="6" w:space="0"/>
            </w:tcBorders>
            <w:shd w:val="clear" w:color="auto" w:fill="auto"/>
          </w:tcPr>
          <w:p w14:paraId="664E0DEF">
            <w:pPr>
              <w:spacing w:before="120" w:after="120"/>
            </w:pPr>
            <w:r>
              <w:rPr>
                <w:b/>
              </w:rPr>
              <w:t>Notifying Member:</w:t>
            </w:r>
            <w:r>
              <w:t xml:space="preserve"> </w:t>
            </w:r>
            <w:r>
              <w:rPr>
                <w:u w:val="single"/>
              </w:rPr>
              <w:t>THE STATE OF KUWAIT</w:t>
            </w:r>
          </w:p>
          <w:p w14:paraId="5B797DD0">
            <w:pPr>
              <w:spacing w:after="120"/>
            </w:pPr>
            <w:r>
              <w:rPr>
                <w:b/>
              </w:rPr>
              <w:t>If applicable, name of local government involved (Article 3.2 and 7.2):</w:t>
            </w:r>
            <w:r>
              <w:t xml:space="preserve"> </w:t>
            </w:r>
          </w:p>
        </w:tc>
      </w:tr>
      <w:tr w14:paraId="6F94D06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A8CAB31">
            <w:pPr>
              <w:spacing w:before="120" w:after="120"/>
              <w:jc w:val="left"/>
            </w:pPr>
            <w:r>
              <w:rPr>
                <w:b/>
              </w:rPr>
              <w:t>2.</w:t>
            </w:r>
          </w:p>
        </w:tc>
        <w:tc>
          <w:tcPr>
            <w:tcW w:w="8546" w:type="dxa"/>
            <w:tcBorders>
              <w:top w:val="single" w:color="auto" w:sz="6" w:space="0"/>
              <w:bottom w:val="single" w:color="auto" w:sz="6" w:space="0"/>
            </w:tcBorders>
            <w:shd w:val="clear" w:color="auto" w:fill="auto"/>
          </w:tcPr>
          <w:p w14:paraId="119054B0">
            <w:pPr>
              <w:spacing w:before="120" w:after="120"/>
            </w:pPr>
            <w:r>
              <w:rPr>
                <w:b/>
              </w:rPr>
              <w:t>Agency responsible:</w:t>
            </w:r>
            <w:r>
              <w:t xml:space="preserve"> </w:t>
            </w:r>
          </w:p>
          <w:p w14:paraId="0C60C2F5">
            <w:r>
              <w:t>Public Authority for Industry (PAI)</w:t>
            </w:r>
          </w:p>
          <w:p w14:paraId="6EEB8640">
            <w:pPr>
              <w:spacing w:after="120"/>
            </w:pPr>
            <w:r>
              <w:t>Kuwait Standard &amp; Metrology Department (KOWSMD)</w:t>
            </w:r>
          </w:p>
          <w:p w14:paraId="77E0366C">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A1A90A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B0D0E43">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EE8F561">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5A480C9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82C7823">
            <w:pPr>
              <w:spacing w:before="120" w:after="120"/>
              <w:jc w:val="left"/>
            </w:pPr>
            <w:r>
              <w:rPr>
                <w:b/>
              </w:rPr>
              <w:t>4.</w:t>
            </w:r>
          </w:p>
        </w:tc>
        <w:tc>
          <w:tcPr>
            <w:tcW w:w="8546" w:type="dxa"/>
            <w:tcBorders>
              <w:top w:val="single" w:color="auto" w:sz="6" w:space="0"/>
              <w:bottom w:val="single" w:color="auto" w:sz="6" w:space="0"/>
            </w:tcBorders>
            <w:shd w:val="clear" w:color="auto" w:fill="auto"/>
          </w:tcPr>
          <w:p w14:paraId="5D09C143">
            <w:pPr>
              <w:spacing w:before="120" w:after="120"/>
            </w:pPr>
            <w:r>
              <w:rPr>
                <w:b/>
              </w:rPr>
              <w:t>Products covered (HS or CCCN where applicable, otherwise national tariff heading. ICS numbers may be provided in addition, where applicable):</w:t>
            </w:r>
            <w:r>
              <w:t xml:space="preserve"> All products fall under scope of Ceramic tiles (ICS code(s): 91.100.23) Construction materials and building (Vocabularies); (ICS code(s): 01.040.91)</w:t>
            </w:r>
          </w:p>
        </w:tc>
      </w:tr>
      <w:tr w14:paraId="70BAD05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916FFBA">
            <w:pPr>
              <w:spacing w:before="120" w:after="120"/>
              <w:jc w:val="left"/>
            </w:pPr>
            <w:r>
              <w:rPr>
                <w:b/>
              </w:rPr>
              <w:t>5.</w:t>
            </w:r>
          </w:p>
        </w:tc>
        <w:tc>
          <w:tcPr>
            <w:tcW w:w="8546" w:type="dxa"/>
            <w:tcBorders>
              <w:top w:val="single" w:color="auto" w:sz="6" w:space="0"/>
              <w:bottom w:val="single" w:color="auto" w:sz="6" w:space="0"/>
            </w:tcBorders>
            <w:shd w:val="clear" w:color="auto" w:fill="auto"/>
          </w:tcPr>
          <w:p w14:paraId="4A1F9ED8">
            <w:pPr>
              <w:spacing w:before="120" w:after="120"/>
            </w:pPr>
            <w:r>
              <w:rPr>
                <w:b/>
              </w:rPr>
              <w:t>Title, number of pages and language(s) of the notified document:</w:t>
            </w:r>
            <w:r>
              <w:t xml:space="preserve"> Ceramic tiles — Definitions, classification, characteristics and marking; (59 page(s), in English)</w:t>
            </w:r>
          </w:p>
        </w:tc>
      </w:tr>
      <w:tr w14:paraId="570B7D1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9D6A757">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39CC015B">
            <w:pPr>
              <w:spacing w:before="120" w:after="120"/>
              <w:rPr>
                <w:b/>
              </w:rPr>
            </w:pPr>
            <w:r>
              <w:rPr>
                <w:b/>
              </w:rPr>
              <w:t>Description of content:</w:t>
            </w:r>
            <w:r>
              <w:t xml:space="preserve">  This document defines terms and establishes classifications, characteristics and marking requirements for ceramic tiles of the best commercial quality (first quality). This document is not applicable to tiles made by other than normal processes of extrusion or dry pressing. It is not applicable to decorative accessories or trim such as edges, corners, skirting, capping, coves, beads, steps, curved tiles and other accessory pieces or mosaics (i.e. any piece that can fit into a square, the side of which is less than 7 cm).</w:t>
            </w:r>
          </w:p>
          <w:p w14:paraId="46B99F4B">
            <w:pPr>
              <w:spacing w:before="120" w:after="120"/>
            </w:pPr>
            <w:r>
              <w:t>NOTE ISO 10545 (all parts) describes the test procedures required to determine the product characteristics listed in this document. ISO 10545 is a multi-part standard, each part describes a specific test procedure or related matter.</w:t>
            </w:r>
          </w:p>
          <w:p w14:paraId="647B1F61">
            <w:pPr>
              <w:spacing w:before="120" w:after="120"/>
            </w:pPr>
            <w:r>
              <w:t>plugs and socket-outlets for high load (HL);</w:t>
            </w:r>
          </w:p>
          <w:p w14:paraId="626FBECD">
            <w:pPr>
              <w:spacing w:before="120" w:after="120"/>
            </w:pPr>
            <w:r>
              <w:t>clarification of some definitions;</w:t>
            </w:r>
          </w:p>
          <w:p w14:paraId="73F7B442">
            <w:pPr>
              <w:spacing w:before="120" w:after="120"/>
            </w:pPr>
            <w:r>
              <w:t>durability of markings test;</w:t>
            </w:r>
          </w:p>
          <w:p w14:paraId="00CB3680">
            <w:pPr>
              <w:spacing w:before="120" w:after="120"/>
            </w:pPr>
            <w:r>
              <w:t>introduction of thermal monitoring in the plug;</w:t>
            </w:r>
          </w:p>
          <w:p w14:paraId="0EF67CFB">
            <w:pPr>
              <w:spacing w:before="120" w:after="120"/>
            </w:pPr>
            <w:r>
              <w:t>requirements for shutters in portable socket-outlets;</w:t>
            </w:r>
          </w:p>
          <w:p w14:paraId="212570AB">
            <w:pPr>
              <w:spacing w:before="120" w:after="120"/>
            </w:pPr>
            <w:r>
              <w:t>test walls for the verification of ingress of water;</w:t>
            </w:r>
          </w:p>
          <w:p w14:paraId="6F7428BD">
            <w:pPr>
              <w:spacing w:before="120" w:after="120"/>
              <w:rPr>
                <w:b/>
              </w:rPr>
            </w:pPr>
            <w:r>
              <w:t>rewriting of the temperature rise clause</w:t>
            </w:r>
          </w:p>
        </w:tc>
      </w:tr>
      <w:tr w14:paraId="029677C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ECA8E61">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6BC513D3">
            <w:pPr>
              <w:spacing w:before="120" w:after="120"/>
              <w:rPr>
                <w:b/>
              </w:rPr>
            </w:pPr>
            <w:r>
              <w:rPr>
                <w:b/>
              </w:rPr>
              <w:t>Objective and rationale, including the nature of urgent problems where applicable:</w:t>
            </w:r>
            <w:r>
              <w:t xml:space="preserve"> Prevention of deceptive practices and consumer protection; Protection of human health or safety; Protection of the environment</w:t>
            </w:r>
          </w:p>
        </w:tc>
      </w:tr>
      <w:tr w14:paraId="2693529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7D8C9E">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28887141">
            <w:pPr>
              <w:spacing w:before="120" w:after="120"/>
              <w:rPr>
                <w:bCs/>
              </w:rPr>
            </w:pPr>
            <w:r>
              <w:rPr>
                <w:b/>
              </w:rPr>
              <w:t>Relevant documents:</w:t>
            </w:r>
            <w:r>
              <w:t xml:space="preserve"> </w:t>
            </w:r>
          </w:p>
          <w:p w14:paraId="156D8BA7">
            <w:pPr>
              <w:spacing w:before="120" w:after="120"/>
            </w:pPr>
            <w:r>
              <w:t>GSO ISO 13006:2021 (Ceramic tiles — Definitions, classification, characteristics and marking)</w:t>
            </w:r>
          </w:p>
        </w:tc>
      </w:tr>
      <w:tr w14:paraId="5744C23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7CD56624">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21BC5EC1">
            <w:pPr>
              <w:spacing w:before="120" w:after="120"/>
            </w:pPr>
            <w:r>
              <w:rPr>
                <w:b/>
              </w:rPr>
              <w:t>Proposed date of adoption:</w:t>
            </w:r>
            <w:r>
              <w:t xml:space="preserve"> 30 days from final date for comments</w:t>
            </w:r>
          </w:p>
          <w:p w14:paraId="528BC656">
            <w:pPr>
              <w:spacing w:after="120"/>
            </w:pPr>
            <w:r>
              <w:rPr>
                <w:b/>
              </w:rPr>
              <w:t>Proposed date of entry into force:</w:t>
            </w:r>
            <w:r>
              <w:t xml:space="preserve"> 6 months from adoption</w:t>
            </w:r>
          </w:p>
        </w:tc>
      </w:tr>
      <w:tr w14:paraId="2998C9A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3DC4E58">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C0CA5FD">
            <w:pPr>
              <w:spacing w:before="120" w:after="120"/>
              <w:rPr>
                <w:rFonts w:hint="eastAsia" w:eastAsia="宋体"/>
                <w:bCs/>
                <w:lang w:eastAsia="zh-CN"/>
              </w:rPr>
            </w:pPr>
            <w:r>
              <w:rPr>
                <w:b/>
              </w:rPr>
              <w:t>Final date for comments:</w:t>
            </w:r>
            <w:r>
              <w:t xml:space="preserve"> 5 September 2025</w:t>
            </w:r>
            <w:r>
              <w:rPr>
                <w:rFonts w:hint="eastAsia" w:eastAsia="宋体"/>
                <w:lang w:eastAsia="zh-CN"/>
              </w:rPr>
              <w:t>，</w:t>
            </w:r>
          </w:p>
          <w:p w14:paraId="1005B86B">
            <w:pPr>
              <w:spacing w:before="120" w:after="120"/>
            </w:pPr>
            <w:r>
              <w:rPr>
                <w:b/>
                <w:bCs/>
              </w:rPr>
              <w:t>[X] 60 days from notification</w:t>
            </w:r>
          </w:p>
        </w:tc>
      </w:tr>
      <w:tr w14:paraId="2BE0DC8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57D62DC">
            <w:pPr>
              <w:keepNext/>
              <w:keepLines/>
              <w:spacing w:before="120" w:after="120"/>
              <w:jc w:val="left"/>
              <w:rPr>
                <w:b/>
              </w:rPr>
            </w:pPr>
            <w:r>
              <w:rPr>
                <w:b/>
              </w:rPr>
              <w:t>11.</w:t>
            </w:r>
          </w:p>
        </w:tc>
        <w:tc>
          <w:tcPr>
            <w:tcW w:w="8546" w:type="dxa"/>
            <w:tcBorders>
              <w:top w:val="single" w:color="auto" w:sz="6" w:space="0"/>
            </w:tcBorders>
            <w:shd w:val="clear" w:color="auto" w:fill="auto"/>
          </w:tcPr>
          <w:p w14:paraId="1646858A">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483785AB">
            <w:r>
              <w:t>Public Authority for Industry (PAI)</w:t>
            </w:r>
          </w:p>
          <w:p w14:paraId="150FDEAB">
            <w:r>
              <w:t>P.O.Box:4690 Safat</w:t>
            </w:r>
          </w:p>
          <w:p w14:paraId="1CDE0F07">
            <w:r>
              <w:t>13047 Kuwait</w:t>
            </w:r>
          </w:p>
          <w:p w14:paraId="0DF34F45">
            <w:r>
              <w:t>Tel.:(+965) 25302622</w:t>
            </w:r>
          </w:p>
          <w:p w14:paraId="4A34C7BB">
            <w:r>
              <w:t xml:space="preserve">E-mail: </w:t>
            </w:r>
            <w:r>
              <w:fldChar w:fldCharType="begin"/>
            </w:r>
            <w:r>
              <w:instrText xml:space="preserve"> HYPERLINK "mailto:Enquiry_point@pai.gov.kw" </w:instrText>
            </w:r>
            <w:r>
              <w:fldChar w:fldCharType="separate"/>
            </w:r>
            <w:r>
              <w:rPr>
                <w:color w:val="0000FF"/>
                <w:u w:val="single"/>
              </w:rPr>
              <w:t>Enquiry_point@pai.gov.kw</w:t>
            </w:r>
            <w:r>
              <w:rPr>
                <w:color w:val="0000FF"/>
                <w:u w:val="single"/>
              </w:rPr>
              <w:fldChar w:fldCharType="end"/>
            </w:r>
          </w:p>
          <w:p w14:paraId="7A5E877A">
            <w:pPr>
              <w:keepNext/>
              <w:keepLines/>
              <w:pBdr>
                <w:top w:val="none" w:color="auto" w:sz="0" w:space="4"/>
              </w:pBdr>
              <w:spacing w:after="120"/>
              <w:rPr>
                <w:color w:val="0000FF"/>
                <w:u w:val="single"/>
              </w:rPr>
            </w:pPr>
            <w:r>
              <w:t xml:space="preserve">Website: </w:t>
            </w:r>
            <w:r>
              <w:fldChar w:fldCharType="begin"/>
            </w:r>
            <w:r>
              <w:instrText xml:space="preserve"> HYPERLINK "http://www.pai.gov.kw" \t "_blank" </w:instrText>
            </w:r>
            <w:r>
              <w:fldChar w:fldCharType="separate"/>
            </w:r>
            <w:r>
              <w:rPr>
                <w:color w:val="0000FF"/>
                <w:u w:val="single"/>
              </w:rPr>
              <w:t>http://www.pai.gov.kw</w:t>
            </w:r>
            <w:r>
              <w:rPr>
                <w:color w:val="0000FF"/>
                <w:u w:val="single"/>
              </w:rPr>
              <w:fldChar w:fldCharType="end"/>
            </w:r>
          </w:p>
          <w:p w14:paraId="3C0B6CAD">
            <w:pPr>
              <w:keepNext/>
              <w:keepLines/>
              <w:pBdr>
                <w:top w:val="none" w:color="auto" w:sz="0" w:space="4"/>
              </w:pBdr>
              <w:spacing w:after="120"/>
              <w:rPr>
                <w:color w:val="0000FF"/>
                <w:u w:val="single"/>
              </w:rPr>
            </w:pPr>
            <w:bookmarkStart w:id="11" w:name="_GoBack"/>
            <w:bookmarkEnd w:id="11"/>
          </w:p>
          <w:p w14:paraId="32BD8CD2">
            <w:pPr>
              <w:keepNext/>
              <w:keepLines/>
              <w:pBdr>
                <w:top w:val="none" w:color="auto" w:sz="0" w:space="4"/>
              </w:pBdr>
              <w:spacing w:after="120"/>
              <w:rPr>
                <w:bCs/>
              </w:rPr>
            </w:pPr>
            <w:r>
              <w:fldChar w:fldCharType="begin"/>
            </w:r>
            <w:r>
              <w:instrText xml:space="preserve"> HYPERLINK "https://members.wto.org/crnattachments/2025/TBT/KWT/25_04476_00_e.pdf" \t "_blank" </w:instrText>
            </w:r>
            <w:r>
              <w:fldChar w:fldCharType="separate"/>
            </w:r>
            <w:r>
              <w:rPr>
                <w:iCs/>
                <w:color w:val="0000FF"/>
                <w:u w:val="single"/>
              </w:rPr>
              <w:t>https://members.wto.org/crnattachments/2025/TBT/KWT/25_04476_00_e.pdf</w:t>
            </w:r>
            <w:r>
              <w:rPr>
                <w:iCs/>
                <w:color w:val="0000FF"/>
                <w:u w:val="single"/>
              </w:rPr>
              <w:fldChar w:fldCharType="end"/>
            </w:r>
          </w:p>
        </w:tc>
      </w:tr>
    </w:tbl>
    <w:p w14:paraId="6C787E6E"/>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105624">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595EE">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DF5A6">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46893">
    <w:pPr>
      <w:pStyle w:val="58"/>
      <w:pBdr>
        <w:bottom w:val="single" w:color="auto" w:sz="4" w:space="1"/>
      </w:pBdr>
      <w:tabs>
        <w:tab w:val="clear" w:pos="4513"/>
        <w:tab w:val="clear" w:pos="9027"/>
      </w:tabs>
      <w:jc w:val="center"/>
    </w:pPr>
    <w:bookmarkStart w:id="10" w:name="spsSymbolHeader"/>
    <w:r>
      <w:t>G/TBT/N/KWT/698</w:t>
    </w:r>
    <w:bookmarkEnd w:id="10"/>
  </w:p>
  <w:p w14:paraId="0A7CBC0D">
    <w:pPr>
      <w:pStyle w:val="58"/>
      <w:pBdr>
        <w:bottom w:val="single" w:color="auto" w:sz="4" w:space="1"/>
      </w:pBdr>
      <w:tabs>
        <w:tab w:val="clear" w:pos="4513"/>
        <w:tab w:val="clear" w:pos="9027"/>
      </w:tabs>
      <w:jc w:val="center"/>
    </w:pPr>
  </w:p>
  <w:p w14:paraId="6E4700BB">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34F4071C">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57260">
    <w:pPr>
      <w:pStyle w:val="58"/>
      <w:pBdr>
        <w:bottom w:val="single" w:color="auto" w:sz="4" w:space="1"/>
      </w:pBdr>
      <w:tabs>
        <w:tab w:val="clear" w:pos="4513"/>
        <w:tab w:val="clear" w:pos="9027"/>
      </w:tabs>
      <w:jc w:val="center"/>
    </w:pPr>
    <w:r>
      <w:t>tbtSymbol</w:t>
    </w:r>
  </w:p>
  <w:p w14:paraId="66F1A703">
    <w:pPr>
      <w:pStyle w:val="58"/>
      <w:pBdr>
        <w:bottom w:val="single" w:color="auto" w:sz="4" w:space="1"/>
      </w:pBdr>
      <w:tabs>
        <w:tab w:val="clear" w:pos="4513"/>
        <w:tab w:val="clear" w:pos="9027"/>
      </w:tabs>
      <w:jc w:val="center"/>
    </w:pPr>
  </w:p>
  <w:p w14:paraId="5FA10BA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4048351F">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4333AB2D">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5F273D90">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7F71937A">
          <w:pPr>
            <w:jc w:val="right"/>
            <w:rPr>
              <w:b/>
              <w:color w:val="FF0000"/>
              <w:szCs w:val="16"/>
            </w:rPr>
          </w:pPr>
        </w:p>
      </w:tc>
    </w:tr>
    <w:bookmarkEnd w:id="0"/>
    <w:tr w14:paraId="29BE9759">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303AC0EE">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59082D4C">
          <w:pPr>
            <w:jc w:val="right"/>
            <w:rPr>
              <w:b/>
              <w:szCs w:val="16"/>
            </w:rPr>
          </w:pPr>
        </w:p>
      </w:tc>
    </w:tr>
    <w:tr w14:paraId="18CCC648">
      <w:trPr>
        <w:trHeight w:val="868" w:hRule="atLeast"/>
        <w:jc w:val="center"/>
      </w:trPr>
      <w:tc>
        <w:tcPr>
          <w:tcW w:w="3794" w:type="dxa"/>
          <w:vMerge w:val="continue"/>
          <w:shd w:val="clear" w:color="auto" w:fill="FFFFFF"/>
          <w:tcMar>
            <w:left w:w="108" w:type="dxa"/>
            <w:right w:w="108" w:type="dxa"/>
          </w:tcMar>
        </w:tcPr>
        <w:p w14:paraId="0FC109E7">
          <w:pPr>
            <w:jc w:val="left"/>
            <w:rPr>
              <w:lang w:eastAsia="en-GB"/>
            </w:rPr>
          </w:pPr>
        </w:p>
      </w:tc>
      <w:tc>
        <w:tcPr>
          <w:tcW w:w="5448" w:type="dxa"/>
          <w:gridSpan w:val="2"/>
          <w:shd w:val="clear" w:color="auto" w:fill="FFFFFF"/>
          <w:tcMar>
            <w:left w:w="108" w:type="dxa"/>
            <w:right w:w="108" w:type="dxa"/>
          </w:tcMar>
        </w:tcPr>
        <w:p w14:paraId="7BA58ADA">
          <w:pPr>
            <w:jc w:val="right"/>
            <w:rPr>
              <w:rFonts w:hint="default" w:eastAsia="宋体"/>
              <w:b/>
              <w:szCs w:val="16"/>
              <w:lang w:val="en-US" w:eastAsia="zh-CN"/>
            </w:rPr>
          </w:pPr>
          <w:bookmarkStart w:id="1" w:name="bmkSymbols"/>
          <w:r>
            <w:rPr>
              <w:b/>
              <w:szCs w:val="16"/>
            </w:rPr>
            <w:t>G/TBT/N/KWT/</w:t>
          </w:r>
          <w:bookmarkEnd w:id="1"/>
          <w:r>
            <w:rPr>
              <w:rFonts w:hint="eastAsia" w:eastAsia="宋体"/>
              <w:b/>
              <w:szCs w:val="16"/>
              <w:lang w:val="en-US" w:eastAsia="zh-CN"/>
            </w:rPr>
            <w:t>725</w:t>
          </w:r>
        </w:p>
      </w:tc>
    </w:tr>
    <w:tr w14:paraId="2C652B55">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2DF8004"/>
      </w:tc>
      <w:tc>
        <w:tcPr>
          <w:tcW w:w="5448" w:type="dxa"/>
          <w:gridSpan w:val="2"/>
          <w:shd w:val="clear" w:color="auto" w:fill="FFFFFF"/>
          <w:tcMar>
            <w:left w:w="108" w:type="dxa"/>
            <w:right w:w="108" w:type="dxa"/>
          </w:tcMar>
          <w:vAlign w:val="center"/>
        </w:tcPr>
        <w:p w14:paraId="533ED459">
          <w:pPr>
            <w:jc w:val="right"/>
            <w:rPr>
              <w:szCs w:val="16"/>
            </w:rPr>
          </w:pPr>
          <w:bookmarkStart w:id="2" w:name="spsDateDistribution"/>
          <w:bookmarkEnd w:id="2"/>
          <w:bookmarkStart w:id="3" w:name="bmkDate"/>
          <w:bookmarkEnd w:id="3"/>
          <w:r>
            <w:rPr>
              <w:rFonts w:hint="eastAsia" w:eastAsia="宋体"/>
              <w:szCs w:val="16"/>
              <w:lang w:val="en-US" w:eastAsia="zh-CN"/>
            </w:rPr>
            <w:t>7</w:t>
          </w:r>
          <w:r>
            <w:rPr>
              <w:szCs w:val="16"/>
            </w:rPr>
            <w:t xml:space="preserve"> July 2025</w:t>
          </w:r>
        </w:p>
      </w:tc>
    </w:tr>
    <w:tr w14:paraId="0E71A4F8">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403C33EC">
          <w:pPr>
            <w:jc w:val="left"/>
            <w:rPr>
              <w:b/>
            </w:rPr>
          </w:pPr>
          <w:bookmarkStart w:id="4" w:name="bmkSerial"/>
          <w:r>
            <w:rPr>
              <w:color w:val="FF0000"/>
              <w:szCs w:val="16"/>
            </w:rPr>
            <w:t>(</w:t>
          </w:r>
          <w:bookmarkStart w:id="5" w:name="spsSerialNumber"/>
          <w:bookmarkEnd w:id="5"/>
          <w:r>
            <w:rPr>
              <w:color w:val="FF0000"/>
              <w:szCs w:val="16"/>
            </w:rPr>
            <w:t>24-</w:t>
          </w:r>
          <w:r>
            <w:rPr>
              <w:rFonts w:hint="eastAsia" w:eastAsia="宋体"/>
              <w:color w:val="FF0000"/>
              <w:szCs w:val="16"/>
              <w:lang w:val="en-US" w:eastAsia="zh-CN"/>
            </w:rPr>
            <w:t>4392</w:t>
          </w:r>
          <w:r>
            <w:rPr>
              <w:color w:val="FF0000"/>
              <w:szCs w:val="16"/>
            </w:rPr>
            <w:t>)</w:t>
          </w:r>
          <w:bookmarkEnd w:id="4"/>
        </w:p>
      </w:tc>
      <w:tc>
        <w:tcPr>
          <w:tcW w:w="3325" w:type="dxa"/>
          <w:tcBorders>
            <w:bottom w:val="single" w:color="auto" w:sz="4" w:space="0"/>
          </w:tcBorders>
          <w:tcMar>
            <w:top w:w="0" w:type="dxa"/>
            <w:left w:w="108" w:type="dxa"/>
            <w:bottom w:w="57" w:type="dxa"/>
            <w:right w:w="108" w:type="dxa"/>
          </w:tcMar>
          <w:vAlign w:val="bottom"/>
        </w:tcPr>
        <w:p w14:paraId="60A0A89E">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bCs/>
              <w:szCs w:val="16"/>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bCs/>
              <w:szCs w:val="16"/>
            </w:rPr>
            <w:t>1</w:t>
          </w:r>
          <w:r>
            <w:rPr>
              <w:bCs/>
              <w:szCs w:val="16"/>
            </w:rPr>
            <w:fldChar w:fldCharType="end"/>
          </w:r>
          <w:bookmarkEnd w:id="6"/>
        </w:p>
      </w:tc>
    </w:tr>
    <w:tr w14:paraId="7E068A97">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8D28354">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7F05010F">
          <w:pPr>
            <w:jc w:val="right"/>
            <w:rPr>
              <w:bCs/>
              <w:szCs w:val="18"/>
            </w:rPr>
          </w:pPr>
          <w:bookmarkStart w:id="8" w:name="bmkLanguage"/>
          <w:r>
            <w:rPr>
              <w:bCs/>
              <w:szCs w:val="18"/>
            </w:rPr>
            <w:t xml:space="preserve">Original: </w:t>
          </w:r>
          <w:bookmarkStart w:id="9" w:name="spsOriginalLanguage"/>
          <w:r>
            <w:rPr>
              <w:bCs/>
              <w:szCs w:val="18"/>
            </w:rPr>
            <w:t>English</w:t>
          </w:r>
          <w:bookmarkEnd w:id="8"/>
          <w:bookmarkEnd w:id="9"/>
        </w:p>
      </w:tc>
    </w:tr>
  </w:tbl>
  <w:p w14:paraId="5BFFC3A8">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doNotDisplayPageBoundaries w:val="1"/>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1ED6"/>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34E9"/>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E6FDF"/>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A22DF"/>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15298"/>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9684D71"/>
    <w:rsid w:val="1A8714E9"/>
    <w:rsid w:val="45014E73"/>
    <w:rsid w:val="6E9119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CF3351-2547-4B7D-A17C-BC07B33AFA10}">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Pages>2</Pages>
  <Words>486</Words>
  <Characters>2819</Characters>
  <Lines>18</Lines>
  <Paragraphs>5</Paragraphs>
  <TotalTime>0</TotalTime>
  <ScaleCrop>false</ScaleCrop>
  <LinksUpToDate>false</LinksUpToDate>
  <CharactersWithSpaces>3256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2024-10-28T12:37:00Z</dcterms:created>
  <dc:description>LDIMD - DTU</dc:description>
  <dcterms:modified xsi:type="dcterms:W3CDTF">2025-07-07T14:42:45Z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828AA068733A4F5498308B4B037E69D3_12</vt:lpwstr>
  </property>
</Properties>
</file>