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966CE1">
      <w:pPr>
        <w:pStyle w:val="84"/>
        <w:rPr>
          <w:caps w:val="0"/>
          <w:kern w:val="0"/>
        </w:rPr>
      </w:pPr>
      <w:r>
        <w:rPr>
          <w:caps w:val="0"/>
          <w:kern w:val="0"/>
        </w:rPr>
        <w:t>NOTIFICATION</w:t>
      </w:r>
    </w:p>
    <w:p w14:paraId="6BDBFE94">
      <w:pPr>
        <w:jc w:val="center"/>
      </w:pPr>
      <w:r>
        <w:t>The following notification is being circulated in accordance with Article 10.6</w:t>
      </w:r>
    </w:p>
    <w:p w14:paraId="71C263EE"/>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EDC75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49809E84">
            <w:pPr>
              <w:spacing w:before="120" w:after="120"/>
              <w:jc w:val="left"/>
            </w:pPr>
            <w:r>
              <w:rPr>
                <w:b/>
              </w:rPr>
              <w:t>1.</w:t>
            </w:r>
          </w:p>
        </w:tc>
        <w:tc>
          <w:tcPr>
            <w:tcW w:w="8546" w:type="dxa"/>
            <w:tcBorders>
              <w:bottom w:val="single" w:color="auto" w:sz="6" w:space="0"/>
            </w:tcBorders>
            <w:shd w:val="clear" w:color="auto" w:fill="auto"/>
          </w:tcPr>
          <w:p w14:paraId="664E0DEF">
            <w:pPr>
              <w:spacing w:before="120" w:after="120"/>
            </w:pPr>
            <w:r>
              <w:rPr>
                <w:b/>
              </w:rPr>
              <w:t>Notifying Member:</w:t>
            </w:r>
            <w:r>
              <w:t xml:space="preserve"> </w:t>
            </w:r>
            <w:r>
              <w:rPr>
                <w:u w:val="single"/>
              </w:rPr>
              <w:t>THE STATE OF KUWAIT</w:t>
            </w:r>
          </w:p>
          <w:p w14:paraId="5B797DD0">
            <w:pPr>
              <w:spacing w:after="120"/>
            </w:pPr>
            <w:r>
              <w:rPr>
                <w:b/>
              </w:rPr>
              <w:t>If applicable, name of local government involved (Article 3.2 and 7.2):</w:t>
            </w:r>
            <w:r>
              <w:t xml:space="preserve"> </w:t>
            </w:r>
          </w:p>
        </w:tc>
      </w:tr>
      <w:tr w14:paraId="6F94D06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8CAB31">
            <w:pPr>
              <w:spacing w:before="120" w:after="120"/>
              <w:jc w:val="left"/>
            </w:pPr>
            <w:r>
              <w:rPr>
                <w:b/>
              </w:rPr>
              <w:t>2.</w:t>
            </w:r>
          </w:p>
        </w:tc>
        <w:tc>
          <w:tcPr>
            <w:tcW w:w="8546" w:type="dxa"/>
            <w:tcBorders>
              <w:top w:val="single" w:color="auto" w:sz="6" w:space="0"/>
              <w:bottom w:val="single" w:color="auto" w:sz="6" w:space="0"/>
            </w:tcBorders>
            <w:shd w:val="clear" w:color="auto" w:fill="auto"/>
          </w:tcPr>
          <w:p w14:paraId="119054B0">
            <w:pPr>
              <w:spacing w:before="120" w:after="120"/>
            </w:pPr>
            <w:r>
              <w:rPr>
                <w:b/>
              </w:rPr>
              <w:t>Agency responsible:</w:t>
            </w:r>
            <w:r>
              <w:t xml:space="preserve"> </w:t>
            </w:r>
          </w:p>
          <w:p w14:paraId="4E5621AB">
            <w:r>
              <w:t>Public Authority for Industry</w:t>
            </w:r>
          </w:p>
          <w:p w14:paraId="1082F071">
            <w:pPr>
              <w:spacing w:after="120"/>
            </w:pPr>
            <w:r>
              <w:t>Standard and Metrology Department (KOWSMD)</w:t>
            </w:r>
          </w:p>
          <w:p w14:paraId="77E0366C">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A1A90A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B0D0E4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EE8F561">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5A480C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82C7823">
            <w:pPr>
              <w:spacing w:before="120" w:after="120"/>
              <w:jc w:val="left"/>
            </w:pPr>
            <w:r>
              <w:rPr>
                <w:b/>
              </w:rPr>
              <w:t>4.</w:t>
            </w:r>
          </w:p>
        </w:tc>
        <w:tc>
          <w:tcPr>
            <w:tcW w:w="8546" w:type="dxa"/>
            <w:tcBorders>
              <w:top w:val="single" w:color="auto" w:sz="6" w:space="0"/>
              <w:bottom w:val="single" w:color="auto" w:sz="6" w:space="0"/>
            </w:tcBorders>
            <w:shd w:val="clear" w:color="auto" w:fill="auto"/>
          </w:tcPr>
          <w:p w14:paraId="5D09C143">
            <w:pPr>
              <w:spacing w:before="120" w:after="120"/>
            </w:pPr>
            <w:r>
              <w:rPr>
                <w:b/>
              </w:rPr>
              <w:t>Products covered (HS or CCCN where applicable, otherwise national tariff heading. ICS numbers may be provided in addition, where applicable):</w:t>
            </w:r>
            <w:r>
              <w:t xml:space="preserve"> All products fall under scope of " Water Heaters – Energy Performance Requirements and Labelling " (ICS 91.140.65) Water heating equipment </w:t>
            </w:r>
          </w:p>
        </w:tc>
      </w:tr>
      <w:tr w14:paraId="70BAD0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916FFBA">
            <w:pPr>
              <w:spacing w:before="120" w:after="120"/>
              <w:jc w:val="left"/>
            </w:pPr>
            <w:r>
              <w:rPr>
                <w:b/>
              </w:rPr>
              <w:t>5.</w:t>
            </w:r>
          </w:p>
        </w:tc>
        <w:tc>
          <w:tcPr>
            <w:tcW w:w="8546" w:type="dxa"/>
            <w:tcBorders>
              <w:top w:val="single" w:color="auto" w:sz="6" w:space="0"/>
              <w:bottom w:val="single" w:color="auto" w:sz="6" w:space="0"/>
            </w:tcBorders>
            <w:shd w:val="clear" w:color="auto" w:fill="auto"/>
          </w:tcPr>
          <w:p w14:paraId="05C93024">
            <w:pPr>
              <w:spacing w:before="120" w:after="120"/>
            </w:pPr>
            <w:r>
              <w:rPr>
                <w:b/>
              </w:rPr>
              <w:t>Title, number of pages and language(s) of the notified document:</w:t>
            </w:r>
            <w:r>
              <w:t xml:space="preserve"> Water Heaters – Energy Performance Requirements and Labelling; (49 page(s), in English)</w:t>
            </w:r>
          </w:p>
        </w:tc>
      </w:tr>
      <w:tr w14:paraId="570B7D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9D6A757">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36BDC9D">
            <w:pPr>
              <w:spacing w:before="120" w:after="120"/>
              <w:rPr>
                <w:b/>
              </w:rPr>
            </w:pPr>
            <w:r>
              <w:rPr>
                <w:b/>
              </w:rPr>
              <w:t>Description of content:</w:t>
            </w:r>
            <w:r>
              <w:t xml:space="preserve">  This Kuwait Technical Regulation specifies the Minimum Energy Performance Standard (MEPS) and testing requirements of water heaters. </w:t>
            </w:r>
          </w:p>
          <w:p w14:paraId="3BFB4E84">
            <w:pPr>
              <w:spacing w:before="120" w:after="120"/>
            </w:pPr>
            <w:r>
              <w:t>Category of water heaters falling in the scope of this standard are</w:t>
            </w:r>
          </w:p>
          <w:p w14:paraId="32FFE031">
            <w:pPr>
              <w:spacing w:before="120" w:after="120"/>
            </w:pPr>
            <w:r>
              <w:t>• Electric storage water heaters</w:t>
            </w:r>
          </w:p>
          <w:p w14:paraId="1D488128">
            <w:pPr>
              <w:spacing w:before="120" w:after="120"/>
            </w:pPr>
            <w:r>
              <w:t>• Instantaneous electric water heaters</w:t>
            </w:r>
          </w:p>
          <w:p w14:paraId="018FAEB5">
            <w:pPr>
              <w:spacing w:before="120" w:after="120"/>
            </w:pPr>
            <w:r>
              <w:t>• Heat pump water heaters</w:t>
            </w:r>
          </w:p>
          <w:p w14:paraId="002DFAB3">
            <w:pPr>
              <w:spacing w:before="120" w:after="120"/>
            </w:pPr>
            <w:r>
              <w:t>• Storage tanks</w:t>
            </w:r>
          </w:p>
          <w:p w14:paraId="7EF74731">
            <w:pPr>
              <w:spacing w:before="120" w:after="120"/>
            </w:pPr>
            <w:r>
              <w:t>It shall apply to water heaters that operate in AC single-phase circuits of 240V or designed for dual voltage or voltage range including these values, and three-phase circuits of 415 V with a frequency of 50 Hz according to GSO 1899.</w:t>
            </w:r>
          </w:p>
          <w:p w14:paraId="6F7327E8">
            <w:pPr>
              <w:spacing w:before="120" w:after="120"/>
            </w:pPr>
            <w:r>
              <w:t>It shall apply to water heaters with power under or equal to 70 kW.</w:t>
            </w:r>
          </w:p>
          <w:p w14:paraId="650FBEE7">
            <w:pPr>
              <w:spacing w:before="120" w:after="120"/>
              <w:rPr>
                <w:b/>
              </w:rPr>
            </w:pPr>
            <w:r>
              <w:t>It shall apply to products with a capacity up to 2,000 liters for all types of water heaters except for gas fired water heaters where the maximum capacity is 300 liters.</w:t>
            </w:r>
          </w:p>
        </w:tc>
      </w:tr>
      <w:tr w14:paraId="029677C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ECA8E61">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6BC513D3">
            <w:pPr>
              <w:spacing w:before="120" w:after="120"/>
              <w:rPr>
                <w:b/>
              </w:rPr>
            </w:pPr>
            <w:r>
              <w:rPr>
                <w:b/>
              </w:rPr>
              <w:t>Objective and rationale, including the nature of urgent problems where applicable:</w:t>
            </w:r>
            <w:r>
              <w:t xml:space="preserve"> Energy saving</w:t>
            </w:r>
          </w:p>
        </w:tc>
      </w:tr>
      <w:tr w14:paraId="2693529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7D8C9E">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28887141">
            <w:pPr>
              <w:spacing w:before="120" w:after="120"/>
              <w:rPr>
                <w:bCs/>
              </w:rPr>
            </w:pPr>
            <w:r>
              <w:rPr>
                <w:b/>
              </w:rPr>
              <w:t>Relevant documents:</w:t>
            </w:r>
            <w:r>
              <w:t xml:space="preserve"> </w:t>
            </w:r>
          </w:p>
          <w:p w14:paraId="156D8BA7">
            <w:pPr>
              <w:spacing w:before="120" w:after="120"/>
            </w:pPr>
            <w:r>
              <w:t>N/A</w:t>
            </w:r>
          </w:p>
        </w:tc>
      </w:tr>
      <w:tr w14:paraId="5744C23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CD56624">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21BC5EC1">
            <w:pPr>
              <w:spacing w:before="120" w:after="120"/>
            </w:pPr>
            <w:r>
              <w:rPr>
                <w:b/>
              </w:rPr>
              <w:t>Proposed date of adoption:</w:t>
            </w:r>
            <w:r>
              <w:t xml:space="preserve"> 30 days from final date for comments</w:t>
            </w:r>
          </w:p>
          <w:p w14:paraId="528BC656">
            <w:pPr>
              <w:spacing w:after="120"/>
            </w:pPr>
            <w:r>
              <w:rPr>
                <w:b/>
              </w:rPr>
              <w:t>Proposed date of entry into force:</w:t>
            </w:r>
            <w:r>
              <w:t xml:space="preserve"> 1 year from adoption.</w:t>
            </w:r>
          </w:p>
        </w:tc>
      </w:tr>
      <w:tr w14:paraId="2998C9A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DC4E58">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C0CA5FD">
            <w:pPr>
              <w:spacing w:before="120" w:after="120"/>
              <w:rPr>
                <w:rFonts w:hint="eastAsia" w:eastAsia="宋体"/>
                <w:bCs/>
                <w:lang w:eastAsia="zh-CN"/>
              </w:rPr>
            </w:pPr>
            <w:r>
              <w:rPr>
                <w:b/>
              </w:rPr>
              <w:t>Final date for comments:</w:t>
            </w:r>
            <w:r>
              <w:t xml:space="preserve"> 5 September 2025</w:t>
            </w:r>
            <w:r>
              <w:rPr>
                <w:rFonts w:hint="eastAsia" w:eastAsia="宋体"/>
                <w:lang w:eastAsia="zh-CN"/>
              </w:rPr>
              <w:t>，</w:t>
            </w:r>
          </w:p>
          <w:p w14:paraId="1005B86B">
            <w:pPr>
              <w:spacing w:before="120" w:after="120"/>
            </w:pPr>
            <w:r>
              <w:rPr>
                <w:b/>
                <w:bCs/>
              </w:rPr>
              <w:t>[X] 60 days from notification</w:t>
            </w:r>
          </w:p>
        </w:tc>
      </w:tr>
      <w:tr w14:paraId="2BE0DC8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57D62DC">
            <w:pPr>
              <w:keepNext/>
              <w:keepLines/>
              <w:spacing w:before="120" w:after="120"/>
              <w:jc w:val="left"/>
              <w:rPr>
                <w:b/>
              </w:rPr>
            </w:pPr>
            <w:r>
              <w:rPr>
                <w:b/>
              </w:rPr>
              <w:t>11.</w:t>
            </w:r>
          </w:p>
        </w:tc>
        <w:tc>
          <w:tcPr>
            <w:tcW w:w="8546" w:type="dxa"/>
            <w:tcBorders>
              <w:top w:val="single" w:color="auto" w:sz="6" w:space="0"/>
            </w:tcBorders>
            <w:shd w:val="clear" w:color="auto" w:fill="auto"/>
          </w:tcPr>
          <w:p w14:paraId="1646858A">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483785AB">
            <w:r>
              <w:t>Public Authority for Industry (PAI)</w:t>
            </w:r>
          </w:p>
          <w:p w14:paraId="150FDEAB">
            <w:r>
              <w:t>P.O.Box:4690 Safat</w:t>
            </w:r>
          </w:p>
          <w:p w14:paraId="1CDE0F07">
            <w:r>
              <w:t>13047 Kuwait</w:t>
            </w:r>
          </w:p>
          <w:p w14:paraId="0DF34F45">
            <w:r>
              <w:t>Tel.:(+965) 25302622</w:t>
            </w:r>
            <w:bookmarkStart w:id="11" w:name="_GoBack"/>
            <w:bookmarkEnd w:id="11"/>
          </w:p>
          <w:p w14:paraId="4A34C7BB">
            <w:r>
              <w:t xml:space="preserve">E-mail: </w:t>
            </w:r>
            <w:r>
              <w:fldChar w:fldCharType="begin"/>
            </w:r>
            <w:r>
              <w:instrText xml:space="preserve"> HYPERLINK "mailto:Enquiry_point@pai.gov.kw" </w:instrText>
            </w:r>
            <w:r>
              <w:fldChar w:fldCharType="separate"/>
            </w:r>
            <w:r>
              <w:rPr>
                <w:color w:val="0000FF"/>
                <w:u w:val="single"/>
              </w:rPr>
              <w:t>Enquiry_point@pai.gov.kw</w:t>
            </w:r>
            <w:r>
              <w:rPr>
                <w:color w:val="0000FF"/>
                <w:u w:val="single"/>
              </w:rPr>
              <w:fldChar w:fldCharType="end"/>
            </w:r>
          </w:p>
          <w:p w14:paraId="7A5E877A">
            <w:pPr>
              <w:keepNext/>
              <w:keepLines/>
              <w:pBdr>
                <w:top w:val="none" w:color="auto" w:sz="0" w:space="4"/>
              </w:pBdr>
              <w:spacing w:after="120"/>
              <w:rPr>
                <w:color w:val="0000FF"/>
                <w:u w:val="single"/>
              </w:rPr>
            </w:pPr>
            <w:r>
              <w:t xml:space="preserve">Website: </w:t>
            </w:r>
            <w:r>
              <w:fldChar w:fldCharType="begin"/>
            </w:r>
            <w:r>
              <w:instrText xml:space="preserve"> HYPERLINK "http://www.pai.gov.kw" \t "_blank" </w:instrText>
            </w:r>
            <w:r>
              <w:fldChar w:fldCharType="separate"/>
            </w:r>
            <w:r>
              <w:rPr>
                <w:color w:val="0000FF"/>
                <w:u w:val="single"/>
              </w:rPr>
              <w:t>http://www.pai.gov.kw</w:t>
            </w:r>
            <w:r>
              <w:rPr>
                <w:color w:val="0000FF"/>
                <w:u w:val="single"/>
              </w:rPr>
              <w:fldChar w:fldCharType="end"/>
            </w:r>
          </w:p>
          <w:p w14:paraId="5B0038F2">
            <w:pPr>
              <w:keepNext/>
              <w:keepLines/>
              <w:pBdr>
                <w:top w:val="none" w:color="auto" w:sz="0" w:space="4"/>
              </w:pBdr>
              <w:spacing w:after="120"/>
            </w:pPr>
          </w:p>
          <w:p w14:paraId="32BD8CD2">
            <w:pPr>
              <w:keepNext/>
              <w:keepLines/>
              <w:pBdr>
                <w:top w:val="none" w:color="auto" w:sz="0" w:space="4"/>
              </w:pBdr>
              <w:spacing w:after="120"/>
              <w:rPr>
                <w:bCs/>
              </w:rPr>
            </w:pPr>
            <w:r>
              <w:fldChar w:fldCharType="begin"/>
            </w:r>
            <w:r>
              <w:instrText xml:space="preserve"> HYPERLINK "https://members.wto.org/crnattachments/2025/TBT/KWT/25_04471_00_e.pdf" \t "_blank" </w:instrText>
            </w:r>
            <w:r>
              <w:fldChar w:fldCharType="separate"/>
            </w:r>
            <w:r>
              <w:rPr>
                <w:iCs/>
                <w:color w:val="0000FF"/>
                <w:u w:val="single"/>
              </w:rPr>
              <w:t>https://members.wto.org/crnattachments/2025/TBT/KWT/25_04471_00_e.pdf</w:t>
            </w:r>
            <w:r>
              <w:rPr>
                <w:iCs/>
                <w:color w:val="0000FF"/>
                <w:u w:val="single"/>
              </w:rPr>
              <w:fldChar w:fldCharType="end"/>
            </w:r>
          </w:p>
        </w:tc>
      </w:tr>
    </w:tbl>
    <w:p w14:paraId="6C787E6E"/>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Consolas">
    <w:panose1 w:val="020B0609020204030204"/>
    <w:charset w:val="00"/>
    <w:family w:val="modern"/>
    <w:pitch w:val="default"/>
    <w:sig w:usb0="E10002FF" w:usb1="4000FCFF" w:usb2="00000009" w:usb3="00000000" w:csb0="6000019F" w:csb1="DFD7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0562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595EE">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DF5A6">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46893">
    <w:pPr>
      <w:pStyle w:val="58"/>
      <w:pBdr>
        <w:bottom w:val="single" w:color="auto" w:sz="4" w:space="1"/>
      </w:pBdr>
      <w:tabs>
        <w:tab w:val="clear" w:pos="4513"/>
        <w:tab w:val="clear" w:pos="9027"/>
      </w:tabs>
      <w:jc w:val="center"/>
    </w:pPr>
    <w:bookmarkStart w:id="10" w:name="spsSymbolHeader"/>
    <w:r>
      <w:t>G/TBT/N/KWT/698</w:t>
    </w:r>
    <w:bookmarkEnd w:id="10"/>
  </w:p>
  <w:p w14:paraId="0A7CBC0D">
    <w:pPr>
      <w:pStyle w:val="58"/>
      <w:pBdr>
        <w:bottom w:val="single" w:color="auto" w:sz="4" w:space="1"/>
      </w:pBdr>
      <w:tabs>
        <w:tab w:val="clear" w:pos="4513"/>
        <w:tab w:val="clear" w:pos="9027"/>
      </w:tabs>
      <w:jc w:val="center"/>
    </w:pPr>
  </w:p>
  <w:p w14:paraId="6E4700BB">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34F4071C">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57260">
    <w:pPr>
      <w:pStyle w:val="58"/>
      <w:pBdr>
        <w:bottom w:val="single" w:color="auto" w:sz="4" w:space="1"/>
      </w:pBdr>
      <w:tabs>
        <w:tab w:val="clear" w:pos="4513"/>
        <w:tab w:val="clear" w:pos="9027"/>
      </w:tabs>
      <w:jc w:val="center"/>
    </w:pPr>
    <w:r>
      <w:t>tbtSymbol</w:t>
    </w:r>
  </w:p>
  <w:p w14:paraId="66F1A703">
    <w:pPr>
      <w:pStyle w:val="58"/>
      <w:pBdr>
        <w:bottom w:val="single" w:color="auto" w:sz="4" w:space="1"/>
      </w:pBdr>
      <w:tabs>
        <w:tab w:val="clear" w:pos="4513"/>
        <w:tab w:val="clear" w:pos="9027"/>
      </w:tabs>
      <w:jc w:val="center"/>
    </w:pPr>
  </w:p>
  <w:p w14:paraId="5FA10BA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4048351F">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333AB2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5F273D90">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F71937A">
          <w:pPr>
            <w:jc w:val="right"/>
            <w:rPr>
              <w:b/>
              <w:color w:val="FF0000"/>
              <w:szCs w:val="16"/>
            </w:rPr>
          </w:pPr>
        </w:p>
      </w:tc>
    </w:tr>
    <w:bookmarkEnd w:id="0"/>
    <w:tr w14:paraId="29BE9759">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03AC0EE">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59082D4C">
          <w:pPr>
            <w:jc w:val="right"/>
            <w:rPr>
              <w:b/>
              <w:szCs w:val="16"/>
            </w:rPr>
          </w:pPr>
        </w:p>
      </w:tc>
    </w:tr>
    <w:tr w14:paraId="18CCC648">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FC109E7">
          <w:pPr>
            <w:jc w:val="left"/>
            <w:rPr>
              <w:lang w:eastAsia="en-GB"/>
            </w:rPr>
          </w:pPr>
        </w:p>
      </w:tc>
      <w:tc>
        <w:tcPr>
          <w:tcW w:w="5448" w:type="dxa"/>
          <w:gridSpan w:val="2"/>
          <w:shd w:val="clear" w:color="auto" w:fill="FFFFFF"/>
          <w:tcMar>
            <w:left w:w="108" w:type="dxa"/>
            <w:right w:w="108" w:type="dxa"/>
          </w:tcMar>
        </w:tcPr>
        <w:p w14:paraId="7BA58ADA">
          <w:pPr>
            <w:jc w:val="right"/>
            <w:rPr>
              <w:rFonts w:hint="default" w:eastAsia="宋体"/>
              <w:b/>
              <w:szCs w:val="16"/>
              <w:lang w:val="en-US" w:eastAsia="zh-CN"/>
            </w:rPr>
          </w:pPr>
          <w:bookmarkStart w:id="1" w:name="bmkSymbols"/>
          <w:r>
            <w:rPr>
              <w:b/>
              <w:szCs w:val="16"/>
            </w:rPr>
            <w:t>G/TBT/N/KWT/</w:t>
          </w:r>
          <w:bookmarkEnd w:id="1"/>
          <w:r>
            <w:rPr>
              <w:rFonts w:hint="eastAsia" w:eastAsia="宋体"/>
              <w:b/>
              <w:szCs w:val="16"/>
              <w:lang w:val="en-US" w:eastAsia="zh-CN"/>
            </w:rPr>
            <w:t>724</w:t>
          </w:r>
        </w:p>
      </w:tc>
    </w:tr>
    <w:tr w14:paraId="2C652B5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2DF8004"/>
      </w:tc>
      <w:tc>
        <w:tcPr>
          <w:tcW w:w="5448" w:type="dxa"/>
          <w:gridSpan w:val="2"/>
          <w:shd w:val="clear" w:color="auto" w:fill="FFFFFF"/>
          <w:tcMar>
            <w:left w:w="108" w:type="dxa"/>
            <w:right w:w="108" w:type="dxa"/>
          </w:tcMar>
          <w:vAlign w:val="center"/>
        </w:tcPr>
        <w:p w14:paraId="533ED459">
          <w:pPr>
            <w:jc w:val="right"/>
            <w:rPr>
              <w:szCs w:val="16"/>
            </w:rPr>
          </w:pPr>
          <w:bookmarkStart w:id="2" w:name="spsDateDistribution"/>
          <w:bookmarkEnd w:id="2"/>
          <w:bookmarkStart w:id="3" w:name="bmkDate"/>
          <w:bookmarkEnd w:id="3"/>
          <w:r>
            <w:rPr>
              <w:rFonts w:hint="eastAsia" w:eastAsia="宋体"/>
              <w:szCs w:val="16"/>
              <w:lang w:val="en-US" w:eastAsia="zh-CN"/>
            </w:rPr>
            <w:t>7</w:t>
          </w:r>
          <w:r>
            <w:rPr>
              <w:szCs w:val="16"/>
            </w:rPr>
            <w:t xml:space="preserve"> July 2025</w:t>
          </w:r>
        </w:p>
      </w:tc>
    </w:tr>
    <w:tr w14:paraId="0E71A4F8">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03C33EC">
          <w:pPr>
            <w:jc w:val="left"/>
            <w:rPr>
              <w:b/>
            </w:rPr>
          </w:pPr>
          <w:bookmarkStart w:id="4" w:name="bmkSerial"/>
          <w:r>
            <w:rPr>
              <w:color w:val="FF0000"/>
              <w:szCs w:val="16"/>
            </w:rPr>
            <w:t>(</w:t>
          </w:r>
          <w:bookmarkStart w:id="5" w:name="spsSerialNumber"/>
          <w:bookmarkEnd w:id="5"/>
          <w:r>
            <w:rPr>
              <w:color w:val="FF0000"/>
              <w:szCs w:val="16"/>
            </w:rPr>
            <w:t>24-</w:t>
          </w:r>
          <w:r>
            <w:rPr>
              <w:rFonts w:hint="eastAsia" w:eastAsia="宋体"/>
              <w:color w:val="FF0000"/>
              <w:szCs w:val="16"/>
              <w:lang w:val="en-US" w:eastAsia="zh-CN"/>
            </w:rPr>
            <w:t>4391</w:t>
          </w:r>
          <w:r>
            <w:rPr>
              <w:color w:val="FF0000"/>
              <w:szCs w:val="16"/>
            </w:rPr>
            <w:t>)</w:t>
          </w:r>
          <w:bookmarkEnd w:id="4"/>
        </w:p>
      </w:tc>
      <w:tc>
        <w:tcPr>
          <w:tcW w:w="3325" w:type="dxa"/>
          <w:tcBorders>
            <w:bottom w:val="single" w:color="auto" w:sz="4" w:space="0"/>
          </w:tcBorders>
          <w:tcMar>
            <w:top w:w="0" w:type="dxa"/>
            <w:left w:w="108" w:type="dxa"/>
            <w:bottom w:w="57" w:type="dxa"/>
            <w:right w:w="108" w:type="dxa"/>
          </w:tcMar>
          <w:vAlign w:val="bottom"/>
        </w:tcPr>
        <w:p w14:paraId="60A0A89E">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bCs/>
              <w:szCs w:val="16"/>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bCs/>
              <w:szCs w:val="16"/>
            </w:rPr>
            <w:t>1</w:t>
          </w:r>
          <w:r>
            <w:rPr>
              <w:bCs/>
              <w:szCs w:val="16"/>
            </w:rPr>
            <w:fldChar w:fldCharType="end"/>
          </w:r>
          <w:bookmarkEnd w:id="6"/>
        </w:p>
      </w:tc>
    </w:tr>
    <w:tr w14:paraId="7E068A97">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8D28354">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7F05010F">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5BFFC3A8">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1ED6"/>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34E9"/>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E6FDF"/>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A22DF"/>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15298"/>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9684D71"/>
    <w:rsid w:val="1A8714E9"/>
    <w:rsid w:val="45014E73"/>
    <w:rsid w:val="6E911996"/>
    <w:rsid w:val="7A6E2D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BFCF3351-2547-4B7D-A17C-BC07B33AFA10}">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446</Words>
  <Characters>2646</Characters>
  <Lines>18</Lines>
  <Paragraphs>5</Paragraphs>
  <TotalTime>0</TotalTime>
  <ScaleCrop>false</ScaleCrop>
  <LinksUpToDate>false</LinksUpToDate>
  <CharactersWithSpaces>3052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2024-10-28T12:37:00Z</dcterms:created>
  <dc:description>LDIMD - DTU</dc:description>
  <dcterms:modified xsi:type="dcterms:W3CDTF">2025-07-08T01:09:26Z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eyJoZGlkIjoiYzU2ZjVjM2FlNTE3OTRiNTQ3MzA3ZGI5YmExMTViYmEiLCJ1c2VySWQiOiI2NjE4MzI4NTIifQ==</vt:lpwstr>
  </property>
  <property fmtid="{D5CDD505-2E9C-101B-9397-08002B2CF9AE}" pid="6" name="KSOProductBuildVer">
    <vt:lpwstr>2052-12.1.0.21915</vt:lpwstr>
  </property>
  <property fmtid="{D5CDD505-2E9C-101B-9397-08002B2CF9AE}" pid="7" name="ICV">
    <vt:lpwstr>828AA068733A4F5498308B4B037E69D3_12</vt:lpwstr>
  </property>
</Properties>
</file>