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86375">
      <w:pPr>
        <w:pStyle w:val="84"/>
        <w:rPr>
          <w:caps w:val="0"/>
          <w:kern w:val="0"/>
        </w:rPr>
      </w:pPr>
      <w:r>
        <w:rPr>
          <w:caps w:val="0"/>
          <w:kern w:val="0"/>
        </w:rPr>
        <w:t>NOTIFICATION</w:t>
      </w:r>
    </w:p>
    <w:p w14:paraId="26DC634F">
      <w:pPr>
        <w:jc w:val="center"/>
      </w:pPr>
      <w:r>
        <w:t>The following notification is being circulated in accordance with Article 10.6</w:t>
      </w:r>
    </w:p>
    <w:p w14:paraId="6FDAA57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474E1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209AE6D">
            <w:pPr>
              <w:spacing w:before="120" w:after="120"/>
              <w:jc w:val="left"/>
            </w:pPr>
            <w:r>
              <w:rPr>
                <w:b/>
              </w:rPr>
              <w:t>1.</w:t>
            </w:r>
          </w:p>
        </w:tc>
        <w:tc>
          <w:tcPr>
            <w:tcW w:w="8546" w:type="dxa"/>
            <w:tcBorders>
              <w:bottom w:val="single" w:color="auto" w:sz="6" w:space="0"/>
            </w:tcBorders>
            <w:shd w:val="clear" w:color="auto" w:fill="auto"/>
          </w:tcPr>
          <w:p w14:paraId="38756570">
            <w:pPr>
              <w:spacing w:before="120" w:after="120"/>
            </w:pPr>
            <w:r>
              <w:rPr>
                <w:b/>
              </w:rPr>
              <w:t>Notifying Member:</w:t>
            </w:r>
            <w:r>
              <w:t xml:space="preserve"> </w:t>
            </w:r>
            <w:r>
              <w:rPr>
                <w:u w:val="single"/>
              </w:rPr>
              <w:t>JAPAN</w:t>
            </w:r>
          </w:p>
          <w:p w14:paraId="0AC14B5D">
            <w:pPr>
              <w:spacing w:after="120"/>
            </w:pPr>
            <w:r>
              <w:rPr>
                <w:b/>
              </w:rPr>
              <w:t>If applicable, name of local government involved (Article 3.2 and 7.2):</w:t>
            </w:r>
            <w:r>
              <w:t xml:space="preserve"> </w:t>
            </w:r>
          </w:p>
        </w:tc>
      </w:tr>
      <w:tr w14:paraId="615187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07B6CB">
            <w:pPr>
              <w:spacing w:before="120" w:after="120"/>
              <w:jc w:val="left"/>
            </w:pPr>
            <w:r>
              <w:rPr>
                <w:b/>
              </w:rPr>
              <w:t>2.</w:t>
            </w:r>
          </w:p>
        </w:tc>
        <w:tc>
          <w:tcPr>
            <w:tcW w:w="8546" w:type="dxa"/>
            <w:tcBorders>
              <w:top w:val="single" w:color="auto" w:sz="6" w:space="0"/>
              <w:bottom w:val="single" w:color="auto" w:sz="6" w:space="0"/>
            </w:tcBorders>
            <w:shd w:val="clear" w:color="auto" w:fill="auto"/>
          </w:tcPr>
          <w:p w14:paraId="59FC2F22">
            <w:pPr>
              <w:spacing w:before="120" w:after="120"/>
            </w:pPr>
            <w:r>
              <w:rPr>
                <w:b/>
              </w:rPr>
              <w:t>Agency responsible:</w:t>
            </w:r>
            <w:r>
              <w:t xml:space="preserve"> </w:t>
            </w:r>
          </w:p>
          <w:p w14:paraId="3AA91DB2">
            <w:pPr>
              <w:spacing w:after="120"/>
            </w:pPr>
            <w:r>
              <w:t>Ministry of Agriculture, Forestry and Fisheries (MAFF)</w:t>
            </w:r>
          </w:p>
          <w:p w14:paraId="04E5073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1757C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D70C4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FF8A9D">
            <w:pPr>
              <w:spacing w:before="120" w:after="120"/>
            </w:pPr>
            <w:r>
              <w:rPr>
                <w:b/>
              </w:rPr>
              <w:t>Notified under Article 2.9.2 [X], 2.10.1 [ ], 5.6.2 [ ], 5.7.1 [ ], 3.2 [ ], 7.2 [ ], other:</w:t>
            </w:r>
            <w:r>
              <w:t xml:space="preserve"> </w:t>
            </w:r>
          </w:p>
        </w:tc>
      </w:tr>
      <w:tr w14:paraId="4E3747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508D2">
            <w:pPr>
              <w:spacing w:before="120" w:after="120"/>
              <w:jc w:val="left"/>
            </w:pPr>
            <w:r>
              <w:rPr>
                <w:b/>
              </w:rPr>
              <w:t>4.</w:t>
            </w:r>
          </w:p>
        </w:tc>
        <w:tc>
          <w:tcPr>
            <w:tcW w:w="8546" w:type="dxa"/>
            <w:tcBorders>
              <w:top w:val="single" w:color="auto" w:sz="6" w:space="0"/>
              <w:bottom w:val="single" w:color="auto" w:sz="6" w:space="0"/>
            </w:tcBorders>
            <w:shd w:val="clear" w:color="auto" w:fill="auto"/>
          </w:tcPr>
          <w:p w14:paraId="3ED00AB3">
            <w:pPr>
              <w:spacing w:before="120" w:after="120"/>
            </w:pPr>
            <w:r>
              <w:rPr>
                <w:b/>
              </w:rPr>
              <w:t>Products covered (HS or CCCN where applicable, otherwise national tariff heading. ICS numbers may be provided in addition, where applicable):</w:t>
            </w:r>
            <w:r>
              <w:t xml:space="preserve"> Benzoic acid as a feed additive</w:t>
            </w:r>
          </w:p>
        </w:tc>
      </w:tr>
      <w:tr w14:paraId="77137E7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BFCFFF">
            <w:pPr>
              <w:spacing w:before="120" w:after="120"/>
              <w:jc w:val="left"/>
            </w:pPr>
            <w:r>
              <w:rPr>
                <w:b/>
              </w:rPr>
              <w:t>5.</w:t>
            </w:r>
          </w:p>
        </w:tc>
        <w:tc>
          <w:tcPr>
            <w:tcW w:w="8546" w:type="dxa"/>
            <w:tcBorders>
              <w:top w:val="single" w:color="auto" w:sz="6" w:space="0"/>
              <w:bottom w:val="single" w:color="auto" w:sz="6" w:space="0"/>
            </w:tcBorders>
            <w:shd w:val="clear" w:color="auto" w:fill="auto"/>
          </w:tcPr>
          <w:p w14:paraId="0E9B4E32">
            <w:pPr>
              <w:spacing w:before="120" w:after="120"/>
            </w:pPr>
            <w:r>
              <w:rPr>
                <w:b/>
              </w:rPr>
              <w:t>Title, number of pages and language(s) of the notified document:</w:t>
            </w:r>
            <w:r>
              <w:t xml:space="preserve"> Proposed revision of Ministerial Ordinance on the Specifications and Standards of Feeds and Feed Additives; (1 page(s), in English)</w:t>
            </w:r>
          </w:p>
        </w:tc>
      </w:tr>
      <w:tr w14:paraId="5554C9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1E8C00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91BA9FB">
            <w:pPr>
              <w:spacing w:before="120" w:after="120"/>
              <w:rPr>
                <w:b/>
              </w:rPr>
            </w:pPr>
            <w:r>
              <w:rPr>
                <w:b/>
              </w:rPr>
              <w:t>Description of content:</w:t>
            </w:r>
            <w:r>
              <w:t xml:space="preserve"> MAFF will revise the standard for method of manufacture of feeds in general stipulated in "Ministerial Ordinance on the Specifications and Standards of Feeds and Feed Additives" (Ordinance No. 35 of 24 July 1976 of the Ministry of Agriculture and Forestry). With this amendment, benzoic acid imported into Japan as a feed additive will be allowed to use for pig feeds regardless of pigs' body weight.</w:t>
            </w:r>
          </w:p>
        </w:tc>
      </w:tr>
      <w:tr w14:paraId="2B40F4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0B26492">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6C9153F">
            <w:pPr>
              <w:spacing w:before="120" w:after="120"/>
              <w:rPr>
                <w:b/>
              </w:rPr>
            </w:pPr>
            <w:r>
              <w:rPr>
                <w:b/>
              </w:rPr>
              <w:t>Objective and rationale, including the nature of urgent problems where applicable:</w:t>
            </w:r>
            <w:r>
              <w:t xml:space="preserve"> Consumer information, labelling; Protection of human health or safety; Protection of animal or plant life or health</w:t>
            </w:r>
          </w:p>
        </w:tc>
      </w:tr>
      <w:tr w14:paraId="1D068F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5ED813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383EF3B">
            <w:pPr>
              <w:spacing w:before="120" w:after="120"/>
              <w:rPr>
                <w:bCs/>
              </w:rPr>
            </w:pPr>
            <w:r>
              <w:rPr>
                <w:b/>
              </w:rPr>
              <w:t>Relevant documents:</w:t>
            </w:r>
            <w:r>
              <w:t xml:space="preserve"> </w:t>
            </w:r>
          </w:p>
          <w:p w14:paraId="52796788">
            <w:pPr>
              <w:spacing w:before="120" w:after="120"/>
            </w:pPr>
            <w:r>
              <w:t>This revision is to be publicised in "KAMPO" (Official Government Gazette) when adopted (available in Japanese). The current Ministerial Ordinance is available from the URL:</w:t>
            </w:r>
          </w:p>
          <w:p w14:paraId="16859BAF">
            <w:pPr>
              <w:spacing w:before="120" w:after="120"/>
            </w:pPr>
            <w:r>
              <w:fldChar w:fldCharType="begin"/>
            </w:r>
            <w:r>
              <w:instrText xml:space="preserve"> HYPERLINK "https://elaws.e-gov.go.jp/document?lawid=351M50010000035" </w:instrText>
            </w:r>
            <w:r>
              <w:fldChar w:fldCharType="separate"/>
            </w:r>
            <w:r>
              <w:rPr>
                <w:color w:val="0000FF"/>
                <w:u w:val="single"/>
              </w:rPr>
              <w:t>https://elaws.e-gov.go.jp/document?lawid=351M50010000035</w:t>
            </w:r>
            <w:r>
              <w:rPr>
                <w:color w:val="0000FF"/>
                <w:u w:val="single"/>
              </w:rPr>
              <w:fldChar w:fldCharType="end"/>
            </w:r>
          </w:p>
          <w:p w14:paraId="1EB242CC">
            <w:pPr>
              <w:spacing w:before="120" w:after="120"/>
            </w:pPr>
            <w:r>
              <w:t>This revision is also notified under the SPS Agreement.</w:t>
            </w:r>
          </w:p>
          <w:p w14:paraId="37B944C2">
            <w:pPr>
              <w:spacing w:before="120" w:after="120"/>
            </w:pPr>
            <w:r>
              <w:rPr>
                <w:b/>
                <w:bCs/>
              </w:rPr>
              <w:t>Relevant notifications:</w:t>
            </w:r>
          </w:p>
          <w:p w14:paraId="598F863D">
            <w:pPr>
              <w:numPr>
                <w:ilvl w:val="0"/>
                <w:numId w:val="7"/>
              </w:numPr>
              <w:spacing w:before="120" w:after="120"/>
            </w:pPr>
            <w:r>
              <w:fldChar w:fldCharType="begin"/>
            </w:r>
            <w:r>
              <w:instrText xml:space="preserve"> HYPERLINK "https://eping.wto.org/en/Search/Index?viewData=G/TBT/N/JPN/865" </w:instrText>
            </w:r>
            <w:r>
              <w:fldChar w:fldCharType="separate"/>
            </w:r>
            <w:r>
              <w:rPr>
                <w:color w:val="0000FF"/>
                <w:u w:val="single"/>
              </w:rPr>
              <w:t>G/TBT/N/JPN/865</w:t>
            </w:r>
            <w:r>
              <w:rPr>
                <w:color w:val="0000FF"/>
                <w:u w:val="single"/>
              </w:rPr>
              <w:fldChar w:fldCharType="end"/>
            </w:r>
          </w:p>
          <w:p w14:paraId="12E4BF88">
            <w:pPr>
              <w:numPr>
                <w:ilvl w:val="0"/>
                <w:numId w:val="7"/>
              </w:numPr>
              <w:spacing w:before="120" w:after="120"/>
            </w:pPr>
            <w:r>
              <w:fldChar w:fldCharType="begin"/>
            </w:r>
            <w:r>
              <w:instrText xml:space="preserve"> HYPERLINK "https://eping.wto.org/en/Search/Index?viewData=G/TBT/N/JPN/861" </w:instrText>
            </w:r>
            <w:r>
              <w:fldChar w:fldCharType="separate"/>
            </w:r>
            <w:r>
              <w:rPr>
                <w:color w:val="0000FF"/>
                <w:u w:val="single"/>
              </w:rPr>
              <w:t>G/TBT/N/JPN/861</w:t>
            </w:r>
            <w:r>
              <w:rPr>
                <w:color w:val="0000FF"/>
                <w:u w:val="single"/>
              </w:rPr>
              <w:fldChar w:fldCharType="end"/>
            </w:r>
          </w:p>
          <w:p w14:paraId="7D8A4985">
            <w:pPr>
              <w:numPr>
                <w:ilvl w:val="0"/>
                <w:numId w:val="7"/>
              </w:numPr>
              <w:spacing w:before="120" w:after="120"/>
            </w:pPr>
            <w:r>
              <w:fldChar w:fldCharType="begin"/>
            </w:r>
            <w:r>
              <w:instrText xml:space="preserve"> HYPERLINK "https://eping.wto.org/en/Search/Index?viewData=G/TBT/N/JPN/739" </w:instrText>
            </w:r>
            <w:r>
              <w:fldChar w:fldCharType="separate"/>
            </w:r>
            <w:r>
              <w:rPr>
                <w:color w:val="0000FF"/>
                <w:u w:val="single"/>
              </w:rPr>
              <w:t>G/TBT/N/JPN/739</w:t>
            </w:r>
            <w:r>
              <w:rPr>
                <w:color w:val="0000FF"/>
                <w:u w:val="single"/>
              </w:rPr>
              <w:fldChar w:fldCharType="end"/>
            </w:r>
          </w:p>
        </w:tc>
      </w:tr>
      <w:tr w14:paraId="34C989C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FBD1C1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EC57DB">
            <w:pPr>
              <w:spacing w:before="120" w:after="120"/>
            </w:pPr>
            <w:r>
              <w:rPr>
                <w:b/>
              </w:rPr>
              <w:t>Proposed date of adoption:</w:t>
            </w:r>
            <w:r>
              <w:t xml:space="preserve"> August 2025</w:t>
            </w:r>
          </w:p>
          <w:p w14:paraId="69F345CC">
            <w:pPr>
              <w:spacing w:after="120"/>
            </w:pPr>
            <w:r>
              <w:rPr>
                <w:b/>
              </w:rPr>
              <w:t>Proposed date of entry into force:</w:t>
            </w:r>
            <w:r>
              <w:t xml:space="preserve"> August 2025</w:t>
            </w:r>
            <w:bookmarkStart w:id="10" w:name="_GoBack"/>
            <w:bookmarkEnd w:id="10"/>
          </w:p>
        </w:tc>
      </w:tr>
      <w:tr w14:paraId="5BFD17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B6D1D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9CC9F9">
            <w:pPr>
              <w:spacing w:before="120" w:after="120"/>
            </w:pPr>
            <w:r>
              <w:rPr>
                <w:b/>
              </w:rPr>
              <w:t>Final date for comments:</w:t>
            </w:r>
            <w:r>
              <w:t xml:space="preserve"> Not Applicable</w:t>
            </w:r>
          </w:p>
        </w:tc>
      </w:tr>
      <w:tr w14:paraId="77E8C2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68F230">
            <w:pPr>
              <w:keepNext/>
              <w:keepLines/>
              <w:spacing w:before="120" w:after="120"/>
              <w:jc w:val="left"/>
              <w:rPr>
                <w:b/>
              </w:rPr>
            </w:pPr>
            <w:r>
              <w:rPr>
                <w:b/>
              </w:rPr>
              <w:t>11.</w:t>
            </w:r>
          </w:p>
        </w:tc>
        <w:tc>
          <w:tcPr>
            <w:tcW w:w="8546" w:type="dxa"/>
            <w:tcBorders>
              <w:top w:val="single" w:color="auto" w:sz="6" w:space="0"/>
            </w:tcBorders>
            <w:shd w:val="clear" w:color="auto" w:fill="auto"/>
          </w:tcPr>
          <w:p w14:paraId="301FC6F9">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B532BB2">
            <w:pPr>
              <w:rPr>
                <w:rFonts w:hint="default" w:eastAsia="宋体"/>
                <w:iCs/>
                <w:lang w:val="en-US" w:eastAsia="zh-CN"/>
              </w:rPr>
            </w:pPr>
            <w:r>
              <w:rPr>
                <w:iCs/>
              </w:rPr>
              <w:t>Japan Enquiry Point</w:t>
            </w:r>
            <w:r>
              <w:rPr>
                <w:rFonts w:hint="eastAsia" w:eastAsia="宋体"/>
                <w:iCs/>
                <w:lang w:val="en-US" w:eastAsia="zh-CN"/>
              </w:rPr>
              <w:t xml:space="preserve">  </w:t>
            </w:r>
          </w:p>
          <w:p w14:paraId="30C014CC">
            <w:pPr>
              <w:rPr>
                <w:rFonts w:hint="default" w:eastAsia="宋体"/>
                <w:iCs/>
                <w:lang w:val="en-US" w:eastAsia="zh-CN"/>
              </w:rPr>
            </w:pPr>
            <w:r>
              <w:rPr>
                <w:iCs/>
              </w:rPr>
              <w:t>International Trade Division,</w:t>
            </w:r>
            <w:r>
              <w:rPr>
                <w:rFonts w:hint="eastAsia" w:eastAsia="宋体"/>
                <w:iCs/>
                <w:lang w:val="en-US" w:eastAsia="zh-CN"/>
              </w:rPr>
              <w:t xml:space="preserve">  </w:t>
            </w:r>
          </w:p>
          <w:p w14:paraId="53EA9460">
            <w:pPr>
              <w:rPr>
                <w:rFonts w:hint="default" w:eastAsia="宋体"/>
                <w:iCs/>
                <w:lang w:val="en-US" w:eastAsia="zh-CN"/>
              </w:rPr>
            </w:pPr>
            <w:r>
              <w:rPr>
                <w:iCs/>
              </w:rPr>
              <w:t>Economic Affairs Bureau,</w:t>
            </w:r>
            <w:r>
              <w:rPr>
                <w:rFonts w:hint="eastAsia" w:eastAsia="宋体"/>
                <w:iCs/>
                <w:lang w:val="en-US" w:eastAsia="zh-CN"/>
              </w:rPr>
              <w:t xml:space="preserve">  </w:t>
            </w:r>
          </w:p>
          <w:p w14:paraId="694AFE8A">
            <w:pPr>
              <w:rPr>
                <w:rFonts w:hint="default" w:eastAsia="宋体"/>
                <w:iCs/>
                <w:lang w:val="en-US" w:eastAsia="zh-CN"/>
              </w:rPr>
            </w:pPr>
            <w:r>
              <w:rPr>
                <w:iCs/>
              </w:rPr>
              <w:t>Ministry of Foreign Affairs</w:t>
            </w:r>
            <w:r>
              <w:rPr>
                <w:rFonts w:hint="eastAsia" w:eastAsia="宋体"/>
                <w:iCs/>
                <w:lang w:val="en-US" w:eastAsia="zh-CN"/>
              </w:rPr>
              <w:t xml:space="preserve">  </w:t>
            </w:r>
          </w:p>
          <w:p w14:paraId="7D13E1E6">
            <w:pPr>
              <w:rPr>
                <w:rFonts w:hint="default" w:eastAsia="宋体"/>
                <w:iCs/>
                <w:lang w:val="en-US" w:eastAsia="zh-CN"/>
              </w:rPr>
            </w:pPr>
            <w:r>
              <w:rPr>
                <w:iCs/>
              </w:rPr>
              <w:t>Fax: (+81 3) 5501 8343</w:t>
            </w:r>
            <w:r>
              <w:rPr>
                <w:rFonts w:hint="eastAsia" w:eastAsia="宋体"/>
                <w:iCs/>
                <w:lang w:val="en-US" w:eastAsia="zh-CN"/>
              </w:rPr>
              <w:t xml:space="preserve">  </w:t>
            </w:r>
          </w:p>
          <w:p w14:paraId="629ADA28">
            <w:pPr>
              <w:keepNext/>
              <w:keepLines/>
              <w:pBdr>
                <w:top w:val="none" w:color="auto" w:sz="0" w:space="4"/>
              </w:pBdr>
              <w:spacing w:after="120"/>
              <w:rPr>
                <w:rFonts w:hint="default" w:eastAsia="宋体"/>
                <w:bCs/>
                <w:lang w:val="en-US" w:eastAsia="zh-CN"/>
              </w:rPr>
            </w:pPr>
            <w:r>
              <w:rPr>
                <w:iCs/>
              </w:rPr>
              <w:t xml:space="preserve">E-mail: </w:t>
            </w:r>
            <w:r>
              <w:fldChar w:fldCharType="begin"/>
            </w:r>
            <w:r>
              <w:instrText xml:space="preserve"> HYPERLINK "mailto:enquiry@mofa.go.jp" </w:instrText>
            </w:r>
            <w:r>
              <w:fldChar w:fldCharType="separate"/>
            </w:r>
            <w:r>
              <w:rPr>
                <w:iCs/>
                <w:color w:val="0000FF"/>
                <w:u w:val="single"/>
              </w:rPr>
              <w:t>enquiry@mofa.go.jp</w:t>
            </w:r>
            <w:r>
              <w:rPr>
                <w:iCs/>
                <w:color w:val="0000FF"/>
                <w:u w:val="single"/>
              </w:rPr>
              <w:fldChar w:fldCharType="end"/>
            </w:r>
            <w:r>
              <w:rPr>
                <w:rFonts w:hint="eastAsia" w:eastAsia="宋体"/>
                <w:iCs/>
                <w:color w:val="0000FF"/>
                <w:u w:val="single"/>
                <w:lang w:val="en-US" w:eastAsia="zh-CN"/>
              </w:rPr>
              <w:t xml:space="preserve">  </w:t>
            </w:r>
          </w:p>
          <w:p w14:paraId="6820965F">
            <w:pPr>
              <w:pBdr>
                <w:top w:val="none" w:color="auto" w:sz="0" w:space="4"/>
                <w:bottom w:val="none" w:color="auto" w:sz="0" w:space="4"/>
              </w:pBdr>
              <w:rPr>
                <w:bCs/>
              </w:rPr>
            </w:pPr>
            <w:r>
              <w:fldChar w:fldCharType="begin"/>
            </w:r>
            <w:r>
              <w:instrText xml:space="preserve"> HYPERLINK "https://members.wto.org/crnattachments/2025/TBT/JPN/25_04498_00_e.pdf" \t "_blank" </w:instrText>
            </w:r>
            <w:r>
              <w:fldChar w:fldCharType="separate"/>
            </w:r>
            <w:r>
              <w:rPr>
                <w:iCs/>
                <w:color w:val="0000FF"/>
                <w:u w:val="single"/>
              </w:rPr>
              <w:t>https://members.wto.org/crnattachments/2025/TBT/JPN/25_04498_00_e.pdf</w:t>
            </w:r>
            <w:r>
              <w:rPr>
                <w:iCs/>
                <w:color w:val="0000FF"/>
                <w:u w:val="single"/>
              </w:rPr>
              <w:fldChar w:fldCharType="end"/>
            </w:r>
          </w:p>
        </w:tc>
      </w:tr>
    </w:tbl>
    <w:p w14:paraId="37842F0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7424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2ADF4">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8B87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8D20">
    <w:pPr>
      <w:pStyle w:val="58"/>
      <w:pBdr>
        <w:bottom w:val="single" w:color="auto" w:sz="4" w:space="1"/>
      </w:pBdr>
      <w:tabs>
        <w:tab w:val="clear" w:pos="4513"/>
        <w:tab w:val="clear" w:pos="9027"/>
      </w:tabs>
      <w:jc w:val="center"/>
    </w:pPr>
    <w:bookmarkStart w:id="0" w:name="spsSymbolHeader"/>
    <w:r>
      <w:t>G/TBT/N/JPN/865</w:t>
    </w:r>
    <w:bookmarkEnd w:id="0"/>
  </w:p>
  <w:p w14:paraId="3E2BD6F9">
    <w:pPr>
      <w:pStyle w:val="58"/>
      <w:pBdr>
        <w:bottom w:val="single" w:color="auto" w:sz="4" w:space="1"/>
      </w:pBdr>
      <w:tabs>
        <w:tab w:val="clear" w:pos="4513"/>
        <w:tab w:val="clear" w:pos="9027"/>
      </w:tabs>
      <w:jc w:val="center"/>
    </w:pPr>
  </w:p>
  <w:p w14:paraId="32E2D9D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3CBB63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B092">
    <w:pPr>
      <w:pStyle w:val="58"/>
      <w:pBdr>
        <w:bottom w:val="single" w:color="auto" w:sz="4" w:space="1"/>
      </w:pBdr>
      <w:tabs>
        <w:tab w:val="clear" w:pos="4513"/>
        <w:tab w:val="clear" w:pos="9027"/>
      </w:tabs>
      <w:jc w:val="center"/>
    </w:pPr>
    <w:r>
      <w:t>tbtSymbol</w:t>
    </w:r>
  </w:p>
  <w:p w14:paraId="160AB96B">
    <w:pPr>
      <w:pStyle w:val="58"/>
      <w:pBdr>
        <w:bottom w:val="single" w:color="auto" w:sz="4" w:space="1"/>
      </w:pBdr>
      <w:tabs>
        <w:tab w:val="clear" w:pos="4513"/>
        <w:tab w:val="clear" w:pos="9027"/>
      </w:tabs>
      <w:jc w:val="center"/>
    </w:pPr>
  </w:p>
  <w:p w14:paraId="3477F25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898135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0CBF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AB7A1AF">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01C2949D">
          <w:pPr>
            <w:jc w:val="right"/>
            <w:rPr>
              <w:b/>
              <w:color w:val="FF0000"/>
              <w:szCs w:val="16"/>
            </w:rPr>
          </w:pPr>
        </w:p>
      </w:tc>
    </w:tr>
    <w:bookmarkEnd w:id="1"/>
    <w:tr w14:paraId="0128703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CB35BF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7DC8008">
          <w:pPr>
            <w:jc w:val="right"/>
            <w:rPr>
              <w:b/>
              <w:szCs w:val="16"/>
            </w:rPr>
          </w:pPr>
        </w:p>
      </w:tc>
    </w:tr>
    <w:tr w14:paraId="16C6E19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7651E56">
          <w:pPr>
            <w:jc w:val="left"/>
            <w:rPr>
              <w:lang w:eastAsia="en-GB"/>
            </w:rPr>
          </w:pPr>
        </w:p>
      </w:tc>
      <w:tc>
        <w:tcPr>
          <w:tcW w:w="5448" w:type="dxa"/>
          <w:gridSpan w:val="2"/>
          <w:shd w:val="clear" w:color="auto" w:fill="FFFFFF"/>
          <w:tcMar>
            <w:left w:w="108" w:type="dxa"/>
            <w:right w:w="108" w:type="dxa"/>
          </w:tcMar>
        </w:tcPr>
        <w:p w14:paraId="4D49797F">
          <w:pPr>
            <w:jc w:val="right"/>
            <w:rPr>
              <w:rFonts w:hint="default" w:eastAsia="宋体"/>
              <w:b/>
              <w:szCs w:val="16"/>
              <w:lang w:val="en-US" w:eastAsia="zh-CN"/>
            </w:rPr>
          </w:pPr>
          <w:bookmarkStart w:id="2" w:name="bmkSymbols"/>
          <w:r>
            <w:rPr>
              <w:b/>
              <w:szCs w:val="16"/>
            </w:rPr>
            <w:t>G/TBT/N/JPN/8</w:t>
          </w:r>
          <w:bookmarkEnd w:id="2"/>
          <w:r>
            <w:rPr>
              <w:rFonts w:hint="eastAsia" w:eastAsia="宋体"/>
              <w:b/>
              <w:szCs w:val="16"/>
              <w:lang w:val="en-US" w:eastAsia="zh-CN"/>
            </w:rPr>
            <w:t>71</w:t>
          </w:r>
        </w:p>
      </w:tc>
    </w:tr>
    <w:tr w14:paraId="51E2481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C8C43A"/>
      </w:tc>
      <w:tc>
        <w:tcPr>
          <w:tcW w:w="5448" w:type="dxa"/>
          <w:gridSpan w:val="2"/>
          <w:shd w:val="clear" w:color="auto" w:fill="FFFFFF"/>
          <w:tcMar>
            <w:left w:w="108" w:type="dxa"/>
            <w:right w:w="108" w:type="dxa"/>
          </w:tcMar>
          <w:vAlign w:val="center"/>
        </w:tcPr>
        <w:p w14:paraId="3F1CE0A1">
          <w:pPr>
            <w:jc w:val="right"/>
            <w:rPr>
              <w:szCs w:val="16"/>
            </w:rPr>
          </w:pPr>
          <w:bookmarkStart w:id="3" w:name="spsDateDistribution"/>
          <w:bookmarkStart w:id="4" w:name="bmkDate"/>
          <w:r>
            <w:rPr>
              <w:szCs w:val="16"/>
            </w:rPr>
            <w:t>8 July 2025</w:t>
          </w:r>
          <w:bookmarkEnd w:id="3"/>
          <w:bookmarkEnd w:id="4"/>
        </w:p>
      </w:tc>
    </w:tr>
    <w:tr w14:paraId="07F67E1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0F5999C">
          <w:pPr>
            <w:jc w:val="left"/>
            <w:rPr>
              <w:b/>
            </w:rPr>
          </w:pPr>
          <w:bookmarkStart w:id="5" w:name="bmkSerial"/>
          <w:r>
            <w:rPr>
              <w:b w:val="0"/>
              <w:color w:val="FF0000"/>
            </w:rPr>
            <w:t>(25-</w:t>
          </w:r>
          <w:r>
            <w:rPr>
              <w:rFonts w:hint="eastAsia" w:eastAsia="宋体"/>
              <w:b w:val="0"/>
              <w:color w:val="FF0000"/>
              <w:lang w:val="en-US" w:eastAsia="zh-CN"/>
            </w:rPr>
            <w:t>4414</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1912F966">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23DC555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6512A5B">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2D29649">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6C20CB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47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04D0"/>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1F5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2E13"/>
    <w:rsid w:val="00C379C8"/>
    <w:rsid w:val="00C40E47"/>
    <w:rsid w:val="00C43456"/>
    <w:rsid w:val="00C43F2C"/>
    <w:rsid w:val="00C46583"/>
    <w:rsid w:val="00C47FCA"/>
    <w:rsid w:val="00C65C0C"/>
    <w:rsid w:val="00C71F70"/>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518E"/>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EB84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qFormat="1"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qFormat="1" w:uiPriority="99" w:name="Table Columns 2"/>
    <w:lsdException w:uiPriority="99" w:name="Table Columns 3"/>
    <w:lsdException w:qFormat="1" w:uiPriority="99" w:name="Table Columns 4"/>
    <w:lsdException w:qFormat="1" w:uiPriority="99" w:name="Table Columns 5"/>
    <w:lsdException w:qFormat="1" w:uiPriority="99" w:name="Table Grid 1"/>
    <w:lsdException w:uiPriority="99" w:name="Table Grid 2"/>
    <w:lsdException w:uiPriority="99" w:name="Table Grid 3"/>
    <w:lsdException w:uiPriority="99" w:name="Table Grid 4"/>
    <w:lsdException w:qFormat="1" w:uiPriority="99" w:name="Table Grid 5"/>
    <w:lsdException w:uiPriority="99" w:name="Table Grid 6"/>
    <w:lsdException w:qFormat="1" w:uiPriority="99" w:name="Table Grid 7"/>
    <w:lsdException w:qFormat="1"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qFormat="1" w:uiPriority="99" w:name="Table 3D effects 3"/>
    <w:lsdException w:qFormat="1"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qFormat="1"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08510-46DC-4884-800F-94F0397C5B1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335</Words>
  <Characters>1992</Characters>
  <Lines>18</Lines>
  <Paragraphs>5</Paragraphs>
  <TotalTime>0</TotalTime>
  <ScaleCrop>false</ScaleCrop>
  <LinksUpToDate>false</LinksUpToDate>
  <CharactersWithSpaces>2296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2025-05-20T08:54:00Z</dcterms:created>
  <dc:creator>mark louie medidas</dc:creator>
  <dc:description>LDIMD - DTU</dc:description>
  <cp:lastModifiedBy> 譞譞</cp:lastModifiedBy>
  <dcterms:modified xsi:type="dcterms:W3CDTF">2025-07-08T15:33:51Z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442E0C8FA5C34030B9F7944B541DE7D1_12</vt:lpwstr>
  </property>
</Properties>
</file>