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28846D">
      <w:pPr>
        <w:pStyle w:val="84"/>
        <w:rPr>
          <w:caps w:val="0"/>
          <w:kern w:val="0"/>
        </w:rPr>
      </w:pPr>
      <w:r>
        <w:rPr>
          <w:caps w:val="0"/>
          <w:kern w:val="0"/>
        </w:rPr>
        <w:t>NOTIFICATION</w:t>
      </w:r>
    </w:p>
    <w:p w14:paraId="7C6D1679">
      <w:pPr>
        <w:jc w:val="center"/>
      </w:pPr>
      <w:r>
        <w:t>The following notification is being circulated in accordance with Article 10.6</w:t>
      </w:r>
    </w:p>
    <w:p w14:paraId="000407BD"/>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2D0E5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5A980CD">
            <w:pPr>
              <w:spacing w:before="120" w:after="120"/>
              <w:jc w:val="left"/>
            </w:pPr>
            <w:r>
              <w:rPr>
                <w:b/>
              </w:rPr>
              <w:t>1.</w:t>
            </w:r>
          </w:p>
        </w:tc>
        <w:tc>
          <w:tcPr>
            <w:tcW w:w="8546" w:type="dxa"/>
            <w:tcBorders>
              <w:bottom w:val="single" w:color="auto" w:sz="6" w:space="0"/>
            </w:tcBorders>
            <w:shd w:val="clear" w:color="auto" w:fill="auto"/>
          </w:tcPr>
          <w:p w14:paraId="42BF1995">
            <w:pPr>
              <w:spacing w:before="120" w:after="120"/>
            </w:pPr>
            <w:r>
              <w:rPr>
                <w:b/>
              </w:rPr>
              <w:t>Notifying Member:</w:t>
            </w:r>
            <w:r>
              <w:t xml:space="preserve"> </w:t>
            </w:r>
            <w:r>
              <w:rPr>
                <w:u w:val="single"/>
              </w:rPr>
              <w:t>GUYANA</w:t>
            </w:r>
          </w:p>
          <w:p w14:paraId="38453A0D">
            <w:pPr>
              <w:spacing w:after="120"/>
            </w:pPr>
            <w:r>
              <w:rPr>
                <w:b/>
              </w:rPr>
              <w:t>If applicable, name of local government involved (Article 3.2 and 7.2):</w:t>
            </w:r>
            <w:r>
              <w:t xml:space="preserve"> </w:t>
            </w:r>
          </w:p>
        </w:tc>
      </w:tr>
      <w:tr w14:paraId="6F1E1F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F4009B">
            <w:pPr>
              <w:spacing w:before="120" w:after="120"/>
              <w:jc w:val="left"/>
            </w:pPr>
            <w:r>
              <w:rPr>
                <w:b/>
              </w:rPr>
              <w:t>2.</w:t>
            </w:r>
          </w:p>
        </w:tc>
        <w:tc>
          <w:tcPr>
            <w:tcW w:w="8546" w:type="dxa"/>
            <w:tcBorders>
              <w:top w:val="single" w:color="auto" w:sz="6" w:space="0"/>
              <w:bottom w:val="single" w:color="auto" w:sz="6" w:space="0"/>
            </w:tcBorders>
            <w:shd w:val="clear" w:color="auto" w:fill="auto"/>
          </w:tcPr>
          <w:p w14:paraId="55C80250">
            <w:pPr>
              <w:spacing w:before="120" w:after="120"/>
            </w:pPr>
            <w:r>
              <w:rPr>
                <w:b/>
              </w:rPr>
              <w:t>Agency responsible:</w:t>
            </w:r>
            <w:r>
              <w:t xml:space="preserve"> </w:t>
            </w:r>
          </w:p>
          <w:p w14:paraId="0811DA81">
            <w:pPr>
              <w:spacing w:after="120"/>
            </w:pPr>
            <w:r>
              <w:t>Guyana National Bureau of Standards (GNBS)</w:t>
            </w:r>
          </w:p>
          <w:p w14:paraId="089FA23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9C00B2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A8421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EFCF7EC">
            <w:pPr>
              <w:spacing w:before="120" w:after="120"/>
            </w:pPr>
            <w:r>
              <w:rPr>
                <w:b/>
              </w:rPr>
              <w:t>Notified under Article 2.9.2 [X], 2.10.1 [</w:t>
            </w:r>
            <w:r>
              <w:rPr>
                <w:rFonts w:hint="eastAsia" w:eastAsia="宋体"/>
                <w:b/>
                <w:lang w:val="en-US" w:eastAsia="zh-CN"/>
              </w:rPr>
              <w:t xml:space="preserve"> </w:t>
            </w:r>
            <w:r>
              <w:rPr>
                <w:b/>
              </w:rPr>
              <w:t>], 5.6.2 [ ], 5.7.1 [ ], 3.2 [ ], 7.2 [ ], other:</w:t>
            </w:r>
            <w:r>
              <w:t xml:space="preserve"> </w:t>
            </w:r>
          </w:p>
        </w:tc>
      </w:tr>
      <w:tr w14:paraId="295F92F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77898A8">
            <w:pPr>
              <w:spacing w:before="120" w:after="120"/>
              <w:jc w:val="left"/>
            </w:pPr>
            <w:r>
              <w:rPr>
                <w:b/>
              </w:rPr>
              <w:t>4.</w:t>
            </w:r>
          </w:p>
        </w:tc>
        <w:tc>
          <w:tcPr>
            <w:tcW w:w="8546" w:type="dxa"/>
            <w:tcBorders>
              <w:top w:val="single" w:color="auto" w:sz="6" w:space="0"/>
              <w:bottom w:val="single" w:color="auto" w:sz="6" w:space="0"/>
            </w:tcBorders>
            <w:shd w:val="clear" w:color="auto" w:fill="auto"/>
          </w:tcPr>
          <w:p w14:paraId="7885356D">
            <w:pPr>
              <w:spacing w:before="120" w:after="120"/>
            </w:pPr>
            <w:r>
              <w:rPr>
                <w:b/>
              </w:rPr>
              <w:t>Products covered (HS or CCCN where applicable, otherwise national tariff heading. ICS numbers may be provided in addition, where applicable):</w:t>
            </w:r>
            <w:r>
              <w:t xml:space="preserve"> Head protective equipment (ICS code(s): 13.340.20)</w:t>
            </w:r>
          </w:p>
        </w:tc>
      </w:tr>
      <w:tr w14:paraId="119E5B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966EBD">
            <w:pPr>
              <w:spacing w:before="120" w:after="120"/>
              <w:jc w:val="left"/>
            </w:pPr>
            <w:r>
              <w:rPr>
                <w:b/>
              </w:rPr>
              <w:t>5.</w:t>
            </w:r>
          </w:p>
        </w:tc>
        <w:tc>
          <w:tcPr>
            <w:tcW w:w="8546" w:type="dxa"/>
            <w:tcBorders>
              <w:top w:val="single" w:color="auto" w:sz="6" w:space="0"/>
              <w:bottom w:val="single" w:color="auto" w:sz="6" w:space="0"/>
            </w:tcBorders>
            <w:shd w:val="clear" w:color="auto" w:fill="auto"/>
          </w:tcPr>
          <w:p w14:paraId="70233468">
            <w:pPr>
              <w:spacing w:before="120" w:after="120"/>
            </w:pPr>
            <w:r>
              <w:rPr>
                <w:b/>
              </w:rPr>
              <w:t>Title, number of pages and language(s) of the notified document:</w:t>
            </w:r>
            <w:r>
              <w:t xml:space="preserve"> Specification for Labelling of commodities – Part 17: Labelling of protective helmets for road users.; (10 page(s), in English)</w:t>
            </w:r>
          </w:p>
        </w:tc>
      </w:tr>
      <w:tr w14:paraId="08FDC3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1FFF52">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7E547447">
            <w:pPr>
              <w:spacing w:before="120" w:after="120"/>
            </w:pPr>
            <w:r>
              <w:rPr>
                <w:b/>
              </w:rPr>
              <w:t>Description of content:</w:t>
            </w:r>
            <w:r>
              <w:t xml:space="preserve"> This standard is a revision of</w:t>
            </w:r>
            <w:r>
              <w:rPr>
                <w:b/>
                <w:bCs/>
              </w:rPr>
              <w:t xml:space="preserve"> </w:t>
            </w:r>
            <w:r>
              <w:rPr>
                <w:i/>
                <w:iCs/>
              </w:rPr>
              <w:t>GYS 9-17:2004</w:t>
            </w:r>
            <w:r>
              <w:rPr>
                <w:b/>
                <w:bCs/>
              </w:rPr>
              <w:t xml:space="preserve"> </w:t>
            </w:r>
            <w:r>
              <w:t xml:space="preserve">which specifies the labelling requirements to be stated on protective helmets worn by motorcyclists and pedal cyclists. In addition, it states the labelling requirements to be stated on the package and instructions for care and use. It also assigns the responsibility for labelling. </w:t>
            </w:r>
          </w:p>
        </w:tc>
      </w:tr>
      <w:tr w14:paraId="62B4563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0A3C1B68">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322095AE">
            <w:pPr>
              <w:spacing w:before="120" w:after="120"/>
              <w:rPr>
                <w:b/>
              </w:rPr>
            </w:pPr>
            <w:r>
              <w:rPr>
                <w:b/>
              </w:rPr>
              <w:t>Objective and rationale, including the nature of urgent problems where applicable:</w:t>
            </w:r>
            <w:r>
              <w:t xml:space="preserve"> This draft standard is a revision of, and will supersede GYS 9-17:2004. It is intended to be mandatory and will guide manufacturers, importers, retailers or wholesalers and the regulatory agency in inspecting and approving for use, safety helmets for road users. This revision was deemed necessary to update the labelling requirements to include All Terrain Vehicles (ATVs) and electric bikes. The previous version stated that the labelling requirements did not cover helmets worn by users of ATVs. However, the helmets worn by persons using ATVs consist of the same labelling requirements.</w:t>
            </w:r>
          </w:p>
          <w:p w14:paraId="5963C23D">
            <w:pPr>
              <w:spacing w:before="120" w:after="120"/>
            </w:pPr>
            <w:r>
              <w:t>This standard aims to guide manufacturers, importers, wholesalers and retailers of safety helmets on the labelling requirements. A key requirement is that every helmet sold carries a certification mark which will counteract the issue of counterfeit and unsafe helmets sold to motorcyclists or pedal cyclists.; Consumer information, labelling; Prevention of deceptive practices and consumer protection; Protection of human health or safety</w:t>
            </w:r>
          </w:p>
        </w:tc>
      </w:tr>
      <w:tr w14:paraId="081EC48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B5C0340">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3F5797A">
            <w:pPr>
              <w:spacing w:before="120" w:after="120"/>
              <w:rPr>
                <w:bCs/>
              </w:rPr>
            </w:pPr>
            <w:r>
              <w:rPr>
                <w:b/>
              </w:rPr>
              <w:t>Relevant documents:</w:t>
            </w:r>
            <w:r>
              <w:t xml:space="preserve"> </w:t>
            </w:r>
          </w:p>
          <w:p w14:paraId="15E70A8A">
            <w:pPr>
              <w:spacing w:before="120" w:after="120"/>
            </w:pPr>
            <w:r>
              <w:t>Guyana National Bureau of Standards Act 11 of 1984 (Section 20 and 22).</w:t>
            </w:r>
          </w:p>
          <w:p w14:paraId="5B8C0BB3">
            <w:pPr>
              <w:spacing w:before="120" w:after="120"/>
            </w:pPr>
            <w:r>
              <w:t>A notice of the Standard</w:t>
            </w:r>
            <w:r>
              <w:rPr>
                <w:b/>
                <w:bCs/>
              </w:rPr>
              <w:t xml:space="preserve"> </w:t>
            </w:r>
            <w:r>
              <w:rPr>
                <w:i/>
                <w:iCs/>
              </w:rPr>
              <w:t>Specification for Labelling of commodities – Part 17: Labelling of protective helmets for road users</w:t>
            </w:r>
            <w:r>
              <w:t>, will appear in the Official Gazette of Guyana Legal Supplement.</w:t>
            </w:r>
          </w:p>
          <w:p w14:paraId="5985FF44">
            <w:pPr>
              <w:spacing w:before="120" w:after="120"/>
            </w:pPr>
            <w:r>
              <w:t>The document will appear as a Guyana Standard Specification, with mandatory status, and will be available for sale.</w:t>
            </w:r>
          </w:p>
        </w:tc>
      </w:tr>
      <w:tr w14:paraId="0FA2B84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F659D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1858DF8B">
            <w:pPr>
              <w:spacing w:before="120" w:after="120"/>
            </w:pPr>
            <w:r>
              <w:rPr>
                <w:b/>
              </w:rPr>
              <w:t>Proposed date of adoption:</w:t>
            </w:r>
            <w:r>
              <w:t xml:space="preserve"> To be determined</w:t>
            </w:r>
          </w:p>
          <w:p w14:paraId="2484A460">
            <w:pPr>
              <w:spacing w:after="120"/>
            </w:pPr>
            <w:r>
              <w:rPr>
                <w:b/>
              </w:rPr>
              <w:t>Proposed date of entry into force:</w:t>
            </w:r>
            <w:r>
              <w:t xml:space="preserve"> To be determined</w:t>
            </w:r>
          </w:p>
        </w:tc>
      </w:tr>
      <w:tr w14:paraId="3F11252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084B84F">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E9FAF34">
            <w:pPr>
              <w:spacing w:before="120" w:after="120"/>
              <w:rPr>
                <w:rFonts w:hint="eastAsia" w:eastAsia="宋体"/>
                <w:lang w:eastAsia="zh-CN"/>
              </w:rPr>
            </w:pPr>
            <w:r>
              <w:rPr>
                <w:b/>
              </w:rPr>
              <w:t>Final date for comments:</w:t>
            </w:r>
            <w:r>
              <w:t xml:space="preserve"> 4 September 2025</w:t>
            </w:r>
            <w:r>
              <w:rPr>
                <w:rFonts w:hint="eastAsia" w:eastAsia="宋体"/>
                <w:lang w:eastAsia="zh-CN"/>
              </w:rPr>
              <w:t>，</w:t>
            </w:r>
          </w:p>
          <w:p w14:paraId="36B37B2A">
            <w:pPr>
              <w:spacing w:before="120" w:after="120"/>
            </w:pPr>
            <w:r>
              <w:rPr>
                <w:b/>
                <w:bCs/>
              </w:rPr>
              <w:t>Contact details of agency or authority designated to handle comments regarding the notification:</w:t>
            </w:r>
            <w:r>
              <w:t xml:space="preserve"> </w:t>
            </w:r>
          </w:p>
          <w:p w14:paraId="1E88C51E">
            <w:r>
              <w:t>Guyana National Bureau of Standards (GNBS)</w:t>
            </w:r>
          </w:p>
          <w:p w14:paraId="7FFEC59E">
            <w:r>
              <w:t>WTO/TBT Enquiry Point</w:t>
            </w:r>
          </w:p>
          <w:p w14:paraId="6BF047AA">
            <w:r>
              <w:t>Contact: Ms. Nickasi McCalmon</w:t>
            </w:r>
          </w:p>
          <w:p w14:paraId="7BFA3BF7">
            <w:r>
              <w:t>Track MB, Block B, National Exhibition Centre, Sophia, Georgetown, Guyana.</w:t>
            </w:r>
          </w:p>
          <w:p w14:paraId="49DB72A2">
            <w:r>
              <w:t>Tel: Tel: +(592) 219 0062; +(592) 219 0064; +(592) 219 0065; +(592) 219 0066 Ext. 2014</w:t>
            </w:r>
          </w:p>
          <w:p w14:paraId="02C98D18">
            <w:r>
              <w:t>Fax: +(592) 219 0070</w:t>
            </w:r>
          </w:p>
          <w:p w14:paraId="093675D6">
            <w:r>
              <w:t xml:space="preserve">Email: </w:t>
            </w:r>
            <w:r>
              <w:fldChar w:fldCharType="begin"/>
            </w:r>
            <w:r>
              <w:instrText xml:space="preserve"> HYPERLINK "mailto:wto-tbt.enquiry@gnbsgy.org" </w:instrText>
            </w:r>
            <w:r>
              <w:fldChar w:fldCharType="separate"/>
            </w:r>
            <w:r>
              <w:rPr>
                <w:color w:val="0000FF"/>
                <w:u w:val="single"/>
              </w:rPr>
              <w:t>wto-tbt.enquiry@gnbsgy.org</w:t>
            </w:r>
            <w:r>
              <w:rPr>
                <w:color w:val="0000FF"/>
                <w:u w:val="single"/>
              </w:rPr>
              <w:fldChar w:fldCharType="end"/>
            </w:r>
          </w:p>
          <w:p w14:paraId="1F71C936">
            <w:pPr>
              <w:spacing w:before="120" w:after="120"/>
              <w:rPr>
                <w:rFonts w:hint="eastAsia" w:eastAsia="宋体"/>
                <w:lang w:eastAsia="zh-CN"/>
              </w:rPr>
            </w:pPr>
            <w:r>
              <w:t xml:space="preserve">Website: </w:t>
            </w:r>
            <w:r>
              <w:fldChar w:fldCharType="begin"/>
            </w:r>
            <w:r>
              <w:instrText xml:space="preserve"> HYPERLINK "http://www.gnbsgy.org" \t "_blank" </w:instrText>
            </w:r>
            <w:r>
              <w:fldChar w:fldCharType="separate"/>
            </w:r>
            <w:r>
              <w:rPr>
                <w:color w:val="0000FF"/>
                <w:u w:val="single"/>
              </w:rPr>
              <w:t>http://www.gnbsgy.org</w:t>
            </w:r>
            <w:r>
              <w:rPr>
                <w:color w:val="0000FF"/>
                <w:u w:val="single"/>
              </w:rPr>
              <w:fldChar w:fldCharType="end"/>
            </w:r>
            <w:bookmarkStart w:id="10" w:name="_GoBack"/>
            <w:bookmarkEnd w:id="10"/>
          </w:p>
        </w:tc>
      </w:tr>
      <w:tr w14:paraId="1BF3662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FCAF2AE">
            <w:pPr>
              <w:keepNext/>
              <w:keepLines/>
              <w:spacing w:before="120" w:after="120"/>
              <w:jc w:val="left"/>
              <w:rPr>
                <w:b/>
              </w:rPr>
            </w:pPr>
            <w:r>
              <w:rPr>
                <w:b/>
              </w:rPr>
              <w:t>11.</w:t>
            </w:r>
          </w:p>
        </w:tc>
        <w:tc>
          <w:tcPr>
            <w:tcW w:w="8546" w:type="dxa"/>
            <w:tcBorders>
              <w:top w:val="single" w:color="auto" w:sz="6" w:space="0"/>
            </w:tcBorders>
            <w:shd w:val="clear" w:color="auto" w:fill="auto"/>
          </w:tcPr>
          <w:p w14:paraId="77CCC8CF">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2158F054">
            <w:pPr>
              <w:rPr>
                <w:iCs/>
              </w:rPr>
            </w:pPr>
          </w:p>
          <w:p w14:paraId="6C087C76">
            <w:pPr>
              <w:rPr>
                <w:iCs/>
              </w:rPr>
            </w:pPr>
            <w:r>
              <w:rPr>
                <w:iCs/>
              </w:rPr>
              <w:t>Guyana National Bureau of Standards (GNBS)</w:t>
            </w:r>
          </w:p>
          <w:p w14:paraId="1C9BB2AE">
            <w:pPr>
              <w:rPr>
                <w:iCs/>
              </w:rPr>
            </w:pPr>
            <w:r>
              <w:rPr>
                <w:iCs/>
              </w:rPr>
              <w:t>Track MB, Block B, National Exhibition Centre, Sophia, Georgetown, Guyana.</w:t>
            </w:r>
          </w:p>
          <w:p w14:paraId="1C2281C6">
            <w:pPr>
              <w:rPr>
                <w:iCs/>
              </w:rPr>
            </w:pPr>
            <w:r>
              <w:rPr>
                <w:iCs/>
              </w:rPr>
              <w:t>Tel: +(592) 219 0062; +(592) 219 0064; +(592) 219 0065; +(592) 219 0066 Ext. 2013</w:t>
            </w:r>
          </w:p>
          <w:p w14:paraId="4100731A">
            <w:pPr>
              <w:keepNext/>
              <w:keepLines/>
              <w:spacing w:after="120"/>
              <w:rPr>
                <w:iCs/>
                <w:color w:val="0000FF"/>
                <w:u w:val="single"/>
              </w:rPr>
            </w:pPr>
            <w:r>
              <w:rPr>
                <w:iCs/>
              </w:rPr>
              <w:t xml:space="preserve">Email: </w:t>
            </w:r>
            <w:r>
              <w:fldChar w:fldCharType="begin"/>
            </w:r>
            <w:r>
              <w:instrText xml:space="preserve"> HYPERLINK "mailto:standards@gnbsgy.org" </w:instrText>
            </w:r>
            <w:r>
              <w:fldChar w:fldCharType="separate"/>
            </w:r>
            <w:r>
              <w:rPr>
                <w:iCs/>
                <w:color w:val="0000FF"/>
                <w:u w:val="single"/>
              </w:rPr>
              <w:t>standards@gnbsgy.org</w:t>
            </w:r>
            <w:r>
              <w:rPr>
                <w:iCs/>
                <w:color w:val="0000FF"/>
                <w:u w:val="single"/>
              </w:rPr>
              <w:fldChar w:fldCharType="end"/>
            </w:r>
            <w:r>
              <w:rPr>
                <w:iCs/>
              </w:rPr>
              <w:t xml:space="preserve">; </w:t>
            </w:r>
            <w:r>
              <w:fldChar w:fldCharType="begin"/>
            </w:r>
            <w:r>
              <w:instrText xml:space="preserve"> HYPERLINK "mailto:public.comments@gnbsgy.org" </w:instrText>
            </w:r>
            <w:r>
              <w:fldChar w:fldCharType="separate"/>
            </w:r>
            <w:r>
              <w:rPr>
                <w:iCs/>
                <w:color w:val="0000FF"/>
                <w:u w:val="single"/>
              </w:rPr>
              <w:t>public.comments@gnbsgy.org</w:t>
            </w:r>
            <w:r>
              <w:rPr>
                <w:iCs/>
                <w:color w:val="0000FF"/>
                <w:u w:val="single"/>
              </w:rPr>
              <w:fldChar w:fldCharType="end"/>
            </w:r>
          </w:p>
          <w:p w14:paraId="00F3D692">
            <w:pPr>
              <w:keepNext/>
              <w:keepLines/>
              <w:spacing w:after="120"/>
              <w:rPr>
                <w:iCs/>
                <w:color w:val="0000FF"/>
                <w:u w:val="single"/>
              </w:rPr>
            </w:pPr>
          </w:p>
          <w:p w14:paraId="290B3263">
            <w:pPr>
              <w:pBdr>
                <w:top w:val="none" w:color="auto" w:sz="0" w:space="4"/>
                <w:bottom w:val="none" w:color="auto" w:sz="0" w:space="4"/>
              </w:pBdr>
              <w:rPr>
                <w:iCs/>
              </w:rPr>
            </w:pPr>
            <w:r>
              <w:fldChar w:fldCharType="begin"/>
            </w:r>
            <w:r>
              <w:instrText xml:space="preserve"> HYPERLINK "https://members.wto.org/crnattachments/2025/TBT/GUY/25_04469_00_e.pdf" \t "_blank" </w:instrText>
            </w:r>
            <w:r>
              <w:fldChar w:fldCharType="separate"/>
            </w:r>
            <w:r>
              <w:rPr>
                <w:iCs/>
                <w:color w:val="0000FF"/>
                <w:u w:val="single"/>
              </w:rPr>
              <w:t>https://members.wto.org/crnattachments/2025/TBT/GUY/25_04469_00_e.pdf</w:t>
            </w:r>
            <w:r>
              <w:rPr>
                <w:iCs/>
                <w:color w:val="0000FF"/>
                <w:u w:val="single"/>
              </w:rPr>
              <w:fldChar w:fldCharType="end"/>
            </w:r>
          </w:p>
          <w:p w14:paraId="13234BCD">
            <w:pPr>
              <w:rPr>
                <w:iCs/>
                <w:color w:val="0000FF"/>
                <w:u w:val="single"/>
              </w:rPr>
            </w:pPr>
            <w:r>
              <w:rPr>
                <w:iCs/>
              </w:rPr>
              <w:t>chrome-extension://efaidnbmnnnibpcajpcglclefindmkaj/https://gnbsgy.org/wp-content/uploads/2025/07/Enquiry-draft-GYS-9-17.pdf</w:t>
            </w:r>
          </w:p>
        </w:tc>
      </w:tr>
    </w:tbl>
    <w:p w14:paraId="63A33079"/>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modern"/>
    <w:pitch w:val="default"/>
    <w:sig w:usb0="E10002FF" w:usb1="4000FCFF" w:usb2="00000009" w:usb3="00000000" w:csb0="600001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AC611">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77659">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F808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83C12">
    <w:pPr>
      <w:pStyle w:val="58"/>
      <w:pBdr>
        <w:bottom w:val="single" w:color="auto" w:sz="4" w:space="1"/>
      </w:pBdr>
      <w:tabs>
        <w:tab w:val="clear" w:pos="4513"/>
        <w:tab w:val="clear" w:pos="9027"/>
      </w:tabs>
      <w:jc w:val="center"/>
    </w:pPr>
    <w:bookmarkStart w:id="0" w:name="spsSymbolHeader"/>
    <w:r>
      <w:t>G/TBT/N/GUY/61</w:t>
    </w:r>
    <w:bookmarkEnd w:id="0"/>
  </w:p>
  <w:p w14:paraId="71757213">
    <w:pPr>
      <w:pStyle w:val="58"/>
      <w:pBdr>
        <w:bottom w:val="single" w:color="auto" w:sz="4" w:space="1"/>
      </w:pBdr>
      <w:tabs>
        <w:tab w:val="clear" w:pos="4513"/>
        <w:tab w:val="clear" w:pos="9027"/>
      </w:tabs>
      <w:jc w:val="center"/>
    </w:pPr>
  </w:p>
  <w:p w14:paraId="41A6468D">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22ED6E9C">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3E925">
    <w:pPr>
      <w:pStyle w:val="58"/>
      <w:pBdr>
        <w:bottom w:val="single" w:color="auto" w:sz="4" w:space="1"/>
      </w:pBdr>
      <w:tabs>
        <w:tab w:val="clear" w:pos="4513"/>
        <w:tab w:val="clear" w:pos="9027"/>
      </w:tabs>
      <w:jc w:val="center"/>
    </w:pPr>
    <w:r>
      <w:t>tbtSymbol</w:t>
    </w:r>
  </w:p>
  <w:p w14:paraId="6433E9E9">
    <w:pPr>
      <w:pStyle w:val="58"/>
      <w:pBdr>
        <w:bottom w:val="single" w:color="auto" w:sz="4" w:space="1"/>
      </w:pBdr>
      <w:tabs>
        <w:tab w:val="clear" w:pos="4513"/>
        <w:tab w:val="clear" w:pos="9027"/>
      </w:tabs>
      <w:jc w:val="center"/>
    </w:pPr>
  </w:p>
  <w:p w14:paraId="36A175B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B2D16A3">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76CA46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63AED63C">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455DB81A">
          <w:pPr>
            <w:jc w:val="right"/>
            <w:rPr>
              <w:b/>
              <w:color w:val="FF0000"/>
              <w:szCs w:val="16"/>
            </w:rPr>
          </w:pPr>
        </w:p>
      </w:tc>
    </w:tr>
    <w:bookmarkEnd w:id="1"/>
    <w:tr w14:paraId="1FD30B83">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5DEBA68F">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4619D0F">
          <w:pPr>
            <w:jc w:val="right"/>
            <w:rPr>
              <w:b/>
              <w:szCs w:val="16"/>
            </w:rPr>
          </w:pPr>
        </w:p>
      </w:tc>
    </w:tr>
    <w:tr w14:paraId="3875797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E6D69DE">
          <w:pPr>
            <w:jc w:val="left"/>
            <w:rPr>
              <w:lang w:eastAsia="en-GB"/>
            </w:rPr>
          </w:pPr>
        </w:p>
      </w:tc>
      <w:tc>
        <w:tcPr>
          <w:tcW w:w="5448" w:type="dxa"/>
          <w:gridSpan w:val="2"/>
          <w:shd w:val="clear" w:color="auto" w:fill="FFFFFF"/>
          <w:tcMar>
            <w:left w:w="108" w:type="dxa"/>
            <w:right w:w="108" w:type="dxa"/>
          </w:tcMar>
        </w:tcPr>
        <w:p w14:paraId="46835C37">
          <w:pPr>
            <w:jc w:val="right"/>
            <w:rPr>
              <w:rFonts w:hint="eastAsia" w:eastAsia="宋体"/>
              <w:b/>
              <w:szCs w:val="16"/>
              <w:lang w:eastAsia="zh-CN"/>
            </w:rPr>
          </w:pPr>
          <w:bookmarkStart w:id="2" w:name="bmkSymbols"/>
          <w:r>
            <w:rPr>
              <w:b/>
              <w:szCs w:val="16"/>
            </w:rPr>
            <w:t>G/TBT/N/GUY/6</w:t>
          </w:r>
          <w:bookmarkEnd w:id="2"/>
          <w:r>
            <w:rPr>
              <w:rFonts w:hint="eastAsia" w:eastAsia="宋体"/>
              <w:b/>
              <w:szCs w:val="16"/>
              <w:lang w:val="en-US" w:eastAsia="zh-CN"/>
            </w:rPr>
            <w:t>2</w:t>
          </w:r>
        </w:p>
      </w:tc>
    </w:tr>
    <w:tr w14:paraId="7667A2B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DC232D0"/>
      </w:tc>
      <w:tc>
        <w:tcPr>
          <w:tcW w:w="5448" w:type="dxa"/>
          <w:gridSpan w:val="2"/>
          <w:shd w:val="clear" w:color="auto" w:fill="FFFFFF"/>
          <w:tcMar>
            <w:left w:w="108" w:type="dxa"/>
            <w:right w:w="108" w:type="dxa"/>
          </w:tcMar>
          <w:vAlign w:val="center"/>
        </w:tcPr>
        <w:p w14:paraId="6E2401D8">
          <w:pPr>
            <w:jc w:val="right"/>
            <w:rPr>
              <w:szCs w:val="16"/>
            </w:rPr>
          </w:pPr>
          <w:bookmarkStart w:id="3" w:name="spsDateDistribution"/>
          <w:bookmarkStart w:id="4" w:name="bmkDate"/>
          <w:r>
            <w:rPr>
              <w:szCs w:val="16"/>
            </w:rPr>
            <w:t>7 July 2025</w:t>
          </w:r>
          <w:bookmarkEnd w:id="3"/>
          <w:bookmarkEnd w:id="4"/>
        </w:p>
      </w:tc>
    </w:tr>
    <w:tr w14:paraId="01E1A618">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0DA5260">
          <w:pPr>
            <w:jc w:val="left"/>
            <w:rPr>
              <w:b/>
            </w:rPr>
          </w:pPr>
          <w:bookmarkStart w:id="5" w:name="bmkSerial"/>
          <w:r>
            <w:rPr>
              <w:b w:val="0"/>
              <w:color w:val="FF0000"/>
            </w:rPr>
            <w:t>(25-4401)</w:t>
          </w:r>
          <w:bookmarkEnd w:id="5"/>
        </w:p>
      </w:tc>
      <w:tc>
        <w:tcPr>
          <w:tcW w:w="3325" w:type="dxa"/>
          <w:tcBorders>
            <w:bottom w:val="single" w:color="auto" w:sz="4" w:space="0"/>
          </w:tcBorders>
          <w:tcMar>
            <w:top w:w="0" w:type="dxa"/>
            <w:left w:w="108" w:type="dxa"/>
            <w:bottom w:w="57" w:type="dxa"/>
            <w:right w:w="108" w:type="dxa"/>
          </w:tcMar>
          <w:vAlign w:val="bottom"/>
        </w:tcPr>
        <w:p w14:paraId="5296E52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A50E61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8ADAA01">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495FC68D">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0C96E1A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30A2E"/>
    <w:rsid w:val="004423A4"/>
    <w:rsid w:val="00467032"/>
    <w:rsid w:val="0046754A"/>
    <w:rsid w:val="00473B57"/>
    <w:rsid w:val="0048173D"/>
    <w:rsid w:val="004A23F8"/>
    <w:rsid w:val="004C27A4"/>
    <w:rsid w:val="004E51B2"/>
    <w:rsid w:val="004F203A"/>
    <w:rsid w:val="005104AF"/>
    <w:rsid w:val="0052601B"/>
    <w:rsid w:val="005336B8"/>
    <w:rsid w:val="00533DC1"/>
    <w:rsid w:val="00537F67"/>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0E98"/>
    <w:rsid w:val="006527E2"/>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9F47BC"/>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70C57"/>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77335"/>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EF8456F"/>
    <w:rsid w:val="748A14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unhideWhenUsed="0" w:uiPriority="2" w:semiHidden="0" w:name="heading 9"/>
    <w:lsdException w:uiPriority="99" w:name="index 1"/>
    <w:lsdException w:uiPriority="99" w:name="index 2"/>
    <w:lsdException w:uiPriority="99" w:name="index 3"/>
    <w:lsdException w:qFormat="1" w:uiPriority="99" w:name="index 4"/>
    <w:lsdException w:uiPriority="99" w:name="index 5"/>
    <w:lsdException w:qFormat="1" w:uiPriority="99" w:name="index 6"/>
    <w:lsdException w:qFormat="1" w:uiPriority="99" w:name="index 7"/>
    <w:lsdException w:uiPriority="99" w:name="index 8"/>
    <w:lsdException w:uiPriority="99" w:name="index 9"/>
    <w:lsdException w:qFormat="1"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qFormat="1" w:uiPriority="99" w:name="envelope address"/>
    <w:lsdException w:uiPriority="99" w:name="envelope return"/>
    <w:lsdException w:qFormat="1" w:unhideWhenUsed="0" w:uiPriority="5" w:semiHidden="0" w:name="footnote reference"/>
    <w:lsdException w:uiPriority="99" w:name="annotation reference"/>
    <w:lsdException w:uiPriority="99" w:name="line number"/>
    <w:lsdException w:qFormat="1" w:uiPriority="99" w:name="page number"/>
    <w:lsdException w:qFormat="1" w:unhideWhenUsed="0" w:uiPriority="49" w:semiHidden="0" w:name="endnote reference"/>
    <w:lsdException w:unhideWhenUsed="0" w:uiPriority="49" w:semiHidden="0" w:name="endnote text"/>
    <w:lsdException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uiPriority="99" w:name="Body Text Indent 2"/>
    <w:lsdException w:qFormat="1" w:uiPriority="99" w:name="Body Text Indent 3"/>
    <w:lsdException w:qFormat="1"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uiPriority="99" w:name="E-mail Signature"/>
    <w:lsdException w:qFormat="1" w:uiPriority="99" w:name="Normal (Web)"/>
    <w:lsdException w:qFormat="1" w:uiPriority="99" w:name="HTML Acronym"/>
    <w:lsdException w:uiPriority="99" w:name="HTML Address"/>
    <w:lsdException w:uiPriority="99" w:name="HTML Cite"/>
    <w:lsdException w:uiPriority="99" w:name="HTML Code"/>
    <w:lsdException w:uiPriority="99" w:name="HTML Definition"/>
    <w:lsdException w:qFormat="1" w:uiPriority="99" w:name="HTML Keyboard"/>
    <w:lsdException w:qFormat="1" w:uiPriority="99" w:name="HTML Preformatted"/>
    <w:lsdException w:qFormat="1" w:uiPriority="99" w:name="HTML Sample"/>
    <w:lsdException w:uiPriority="99" w:name="HTML Typewriter"/>
    <w:lsdException w:uiPriority="99" w:name="HTML Variable"/>
    <w:lsdException w:uiPriority="99" w:name="Normal Table"/>
    <w:lsdException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BD77B8-E6D0-41DF-9202-F4E5F15F418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559</Words>
  <Characters>3363</Characters>
  <Lines>31</Lines>
  <Paragraphs>8</Paragraphs>
  <TotalTime>0</TotalTime>
  <ScaleCrop>false</ScaleCrop>
  <LinksUpToDate>false</LinksUpToDate>
  <CharactersWithSpaces>3882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2025-05-15T07:41:00Z</dcterms:created>
  <dc:creator>mark louie medidas</dc:creator>
  <dc:description>LDIMD - DTU</dc:description>
  <cp:lastModifiedBy>fanxiaoxuan</cp:lastModifiedBy>
  <dcterms:modified xsi:type="dcterms:W3CDTF">2025-07-08T01:05:07Z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eyJoZGlkIjoiYzU2ZjVjM2FlNTE3OTRiNTQ3MzA3ZGI5YmExMTViYmEiLCJ1c2VySWQiOiI2NjE4MzI4NTIifQ==</vt:lpwstr>
  </property>
  <property fmtid="{D5CDD505-2E9C-101B-9397-08002B2CF9AE}" pid="6" name="KSOProductBuildVer">
    <vt:lpwstr>2052-12.1.0.21915</vt:lpwstr>
  </property>
  <property fmtid="{D5CDD505-2E9C-101B-9397-08002B2CF9AE}" pid="7" name="ICV">
    <vt:lpwstr>BD716750CDA84F078F5A7724F6F583C0_12</vt:lpwstr>
  </property>
</Properties>
</file>