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6032B0">
      <w:pPr>
        <w:pStyle w:val="84"/>
        <w:rPr>
          <w:caps w:val="0"/>
          <w:kern w:val="0"/>
        </w:rPr>
      </w:pPr>
      <w:r>
        <w:rPr>
          <w:caps w:val="0"/>
          <w:kern w:val="0"/>
        </w:rPr>
        <w:t>NOTIFICATION</w:t>
      </w:r>
    </w:p>
    <w:p w14:paraId="28858472">
      <w:pPr>
        <w:jc w:val="center"/>
      </w:pPr>
      <w:r>
        <w:t>The following notification is being circulated in accordance with Article 10.6</w:t>
      </w:r>
    </w:p>
    <w:p w14:paraId="2536E2A8"/>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32C42D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45A20752">
            <w:pPr>
              <w:spacing w:before="120" w:after="120"/>
              <w:jc w:val="left"/>
            </w:pPr>
            <w:r>
              <w:rPr>
                <w:b/>
              </w:rPr>
              <w:t>1.</w:t>
            </w:r>
          </w:p>
        </w:tc>
        <w:tc>
          <w:tcPr>
            <w:tcW w:w="8546" w:type="dxa"/>
            <w:tcBorders>
              <w:bottom w:val="single" w:color="auto" w:sz="6" w:space="0"/>
            </w:tcBorders>
            <w:shd w:val="clear" w:color="auto" w:fill="auto"/>
          </w:tcPr>
          <w:p w14:paraId="73FFA8C8">
            <w:pPr>
              <w:spacing w:before="120" w:after="120"/>
            </w:pPr>
            <w:r>
              <w:rPr>
                <w:b/>
              </w:rPr>
              <w:t>Notifying Member:</w:t>
            </w:r>
            <w:r>
              <w:t xml:space="preserve"> </w:t>
            </w:r>
            <w:r>
              <w:rPr>
                <w:u w:val="single"/>
              </w:rPr>
              <w:t>UNITED ARAB EMIRATES, KINGDOM OF BAHRAIN, THE STATE OF KUWAIT, OMAN, QATAR, KINGDOM OF SAUDI ARABIA, YEMEN</w:t>
            </w:r>
          </w:p>
          <w:p w14:paraId="31FAF240">
            <w:pPr>
              <w:spacing w:after="120"/>
            </w:pPr>
            <w:r>
              <w:rPr>
                <w:b/>
              </w:rPr>
              <w:t>If applicable, name of local government involved (Article 3.2 and 7.2):</w:t>
            </w:r>
            <w:r>
              <w:t xml:space="preserve"> </w:t>
            </w:r>
          </w:p>
        </w:tc>
      </w:tr>
      <w:tr w14:paraId="0C88627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40BFCEE">
            <w:pPr>
              <w:spacing w:before="120" w:after="120"/>
              <w:jc w:val="left"/>
            </w:pPr>
            <w:r>
              <w:rPr>
                <w:b/>
              </w:rPr>
              <w:t>2.</w:t>
            </w:r>
          </w:p>
        </w:tc>
        <w:tc>
          <w:tcPr>
            <w:tcW w:w="8546" w:type="dxa"/>
            <w:tcBorders>
              <w:top w:val="single" w:color="auto" w:sz="6" w:space="0"/>
              <w:bottom w:val="single" w:color="auto" w:sz="6" w:space="0"/>
            </w:tcBorders>
            <w:shd w:val="clear" w:color="auto" w:fill="auto"/>
          </w:tcPr>
          <w:p w14:paraId="6AF3085C">
            <w:pPr>
              <w:spacing w:before="120" w:after="120"/>
            </w:pPr>
            <w:r>
              <w:rPr>
                <w:b/>
              </w:rPr>
              <w:t>Agency responsible:</w:t>
            </w:r>
            <w:r>
              <w:t xml:space="preserve"> </w:t>
            </w:r>
          </w:p>
          <w:p w14:paraId="0894905C">
            <w:pPr>
              <w:spacing w:after="120"/>
            </w:pPr>
            <w:r>
              <w:t>Saudi Food and Drug Authority (SFDA)</w:t>
            </w:r>
          </w:p>
          <w:p w14:paraId="624502C6">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90C705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7361E5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23792EE">
            <w:pPr>
              <w:spacing w:before="120" w:after="120"/>
            </w:pPr>
            <w:r>
              <w:rPr>
                <w:b/>
              </w:rPr>
              <w:t>Notified under Article 2.9.2 [X], 2.10.1 [ ], 5.6.2 [X], 5.7.1 [ ], 3.2 [ ], 7.2 [ ], other:</w:t>
            </w:r>
            <w:r>
              <w:t xml:space="preserve"> </w:t>
            </w:r>
          </w:p>
        </w:tc>
      </w:tr>
      <w:tr w14:paraId="50D1DA1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D3E255F">
            <w:pPr>
              <w:spacing w:before="120" w:after="120"/>
              <w:jc w:val="left"/>
            </w:pPr>
            <w:r>
              <w:rPr>
                <w:b/>
              </w:rPr>
              <w:t>4.</w:t>
            </w:r>
          </w:p>
        </w:tc>
        <w:tc>
          <w:tcPr>
            <w:tcW w:w="8546" w:type="dxa"/>
            <w:tcBorders>
              <w:top w:val="single" w:color="auto" w:sz="6" w:space="0"/>
              <w:bottom w:val="single" w:color="auto" w:sz="6" w:space="0"/>
            </w:tcBorders>
            <w:shd w:val="clear" w:color="auto" w:fill="auto"/>
          </w:tcPr>
          <w:p w14:paraId="542CAC11">
            <w:pPr>
              <w:spacing w:before="120" w:after="120"/>
            </w:pPr>
            <w:r>
              <w:rPr>
                <w:b/>
              </w:rPr>
              <w:t>Products covered (HS or CCCN where applicable, otherwise national tariff heading. ICS numbers may be provided in addition, where applicable):</w:t>
            </w:r>
            <w:r>
              <w:t xml:space="preserve"> General methods of tests and analysis for food products (ICS code(s): 67.050)</w:t>
            </w:r>
          </w:p>
        </w:tc>
      </w:tr>
      <w:tr w14:paraId="7E8C902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DA7D2D6">
            <w:pPr>
              <w:spacing w:before="120" w:after="120"/>
              <w:jc w:val="left"/>
            </w:pPr>
            <w:r>
              <w:rPr>
                <w:b/>
              </w:rPr>
              <w:t>5.</w:t>
            </w:r>
          </w:p>
        </w:tc>
        <w:tc>
          <w:tcPr>
            <w:tcW w:w="8546" w:type="dxa"/>
            <w:tcBorders>
              <w:top w:val="single" w:color="auto" w:sz="6" w:space="0"/>
              <w:bottom w:val="single" w:color="auto" w:sz="6" w:space="0"/>
            </w:tcBorders>
            <w:shd w:val="clear" w:color="auto" w:fill="auto"/>
          </w:tcPr>
          <w:p w14:paraId="61820F51">
            <w:pPr>
              <w:spacing w:before="120" w:after="120"/>
            </w:pPr>
            <w:r>
              <w:rPr>
                <w:b/>
              </w:rPr>
              <w:t>Title, number of pages and language(s) of the notified document:</w:t>
            </w:r>
            <w:r>
              <w:t xml:space="preserve"> General Requirements for Genetically Modified Processed Food and Feed; (10 page(s), in Arabic)</w:t>
            </w:r>
          </w:p>
        </w:tc>
      </w:tr>
      <w:tr w14:paraId="3D74AA3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8442D9">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12E4F6FF">
            <w:pPr>
              <w:numPr>
                <w:numId w:val="0"/>
              </w:numPr>
              <w:spacing w:before="100" w:after="100"/>
              <w:rPr>
                <w:b/>
              </w:rPr>
            </w:pPr>
            <w:r>
              <w:rPr>
                <w:b/>
              </w:rPr>
              <w:t>Description of content:</w:t>
            </w:r>
            <w:r>
              <w:t xml:space="preserve"> This standard is concerned with general requirements for processed food and feed obtained through certain techniques of genetic modification and processed food and feed that contain or produced from genetically modified organism (GMO) if the GMO present is higher than 1 % ,of the ingredients considered individually, or if it consist of a single ingredient.</w:t>
            </w:r>
          </w:p>
        </w:tc>
      </w:tr>
      <w:tr w14:paraId="7F28F7B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FB2A3B9">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433FBC56">
            <w:pPr>
              <w:spacing w:before="120" w:after="120"/>
              <w:rPr>
                <w:b/>
              </w:rPr>
            </w:pPr>
            <w:r>
              <w:rPr>
                <w:b/>
              </w:rPr>
              <w:t>Objective and rationale, including the nature of urgent problems where applicable:</w:t>
            </w:r>
            <w:r>
              <w:t xml:space="preserve"> Consumer information, labelling; Protection of human health or safety</w:t>
            </w:r>
          </w:p>
        </w:tc>
      </w:tr>
      <w:tr w14:paraId="5C3EE1B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B35A4D">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733AEF66">
            <w:pPr>
              <w:spacing w:before="120" w:after="120"/>
            </w:pPr>
            <w:r>
              <w:rPr>
                <w:b/>
              </w:rPr>
              <w:t>Relevant documents:</w:t>
            </w:r>
            <w:r>
              <w:t xml:space="preserve"> </w:t>
            </w:r>
          </w:p>
          <w:p w14:paraId="7367430B">
            <w:pPr>
              <w:spacing w:before="120" w:after="120"/>
            </w:pPr>
            <w:r>
              <w:t>- Cartagena Protocol on Biosafety</w:t>
            </w:r>
          </w:p>
          <w:p w14:paraId="19044F3B">
            <w:pPr>
              <w:spacing w:before="120" w:after="120"/>
              <w:rPr>
                <w:bCs/>
              </w:rPr>
            </w:pPr>
            <w:r>
              <w:t>- Regulation (EC) No 1829/2003</w:t>
            </w:r>
          </w:p>
        </w:tc>
      </w:tr>
      <w:tr w14:paraId="643336C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365D204">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2436C78F">
            <w:pPr>
              <w:spacing w:before="120" w:after="120"/>
            </w:pPr>
            <w:r>
              <w:rPr>
                <w:b/>
              </w:rPr>
              <w:t>Proposed date of adoption:</w:t>
            </w:r>
            <w:r>
              <w:t xml:space="preserve"> To be determined</w:t>
            </w:r>
          </w:p>
          <w:p w14:paraId="64928633">
            <w:pPr>
              <w:spacing w:after="120"/>
            </w:pPr>
            <w:r>
              <w:rPr>
                <w:b/>
              </w:rPr>
              <w:t>Proposed date of entry into force:</w:t>
            </w:r>
            <w:r>
              <w:t xml:space="preserve"> To be determined</w:t>
            </w:r>
          </w:p>
        </w:tc>
      </w:tr>
      <w:tr w14:paraId="09C015A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BC971D9">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42CC02A7">
            <w:pPr>
              <w:spacing w:before="120" w:after="120"/>
              <w:rPr>
                <w:rFonts w:hint="eastAsia" w:eastAsia="宋体"/>
                <w:lang w:eastAsia="zh-CN"/>
              </w:rPr>
            </w:pPr>
            <w:r>
              <w:rPr>
                <w:b/>
              </w:rPr>
              <w:t>Final date for comments:</w:t>
            </w:r>
            <w:r>
              <w:t xml:space="preserve">  6 September 2025</w:t>
            </w:r>
            <w:r>
              <w:rPr>
                <w:rFonts w:hint="eastAsia" w:eastAsia="宋体"/>
                <w:lang w:eastAsia="zh-CN"/>
              </w:rPr>
              <w:t>，</w:t>
            </w:r>
          </w:p>
          <w:p w14:paraId="1A21477C">
            <w:pPr>
              <w:spacing w:before="120" w:after="120"/>
              <w:rPr>
                <w:rFonts w:hint="eastAsia" w:eastAsia="宋体"/>
                <w:lang w:eastAsia="zh-CN"/>
              </w:rPr>
            </w:pPr>
            <w:r>
              <w:rPr>
                <w:b/>
                <w:bCs/>
              </w:rPr>
              <w:t>[X] 60 days from notification</w:t>
            </w:r>
          </w:p>
        </w:tc>
      </w:tr>
      <w:tr w14:paraId="39CBCA6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90A49BB">
            <w:pPr>
              <w:keepNext/>
              <w:keepLines/>
              <w:spacing w:before="120" w:after="120"/>
              <w:jc w:val="left"/>
              <w:rPr>
                <w:b/>
              </w:rPr>
            </w:pPr>
            <w:r>
              <w:rPr>
                <w:b/>
              </w:rPr>
              <w:t>11.</w:t>
            </w:r>
          </w:p>
        </w:tc>
        <w:tc>
          <w:tcPr>
            <w:tcW w:w="8546" w:type="dxa"/>
            <w:tcBorders>
              <w:top w:val="single" w:color="auto" w:sz="6" w:space="0"/>
            </w:tcBorders>
            <w:shd w:val="clear" w:color="auto" w:fill="auto"/>
          </w:tcPr>
          <w:p w14:paraId="0ABB6407">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3AB8163A">
            <w:pPr>
              <w:rPr>
                <w:rFonts w:hint="default" w:eastAsia="宋体"/>
                <w:lang w:val="en-US" w:eastAsia="zh-CN"/>
              </w:rPr>
            </w:pPr>
            <w:r>
              <w:t>Saudi Standards Metrology and Quality Organization</w:t>
            </w:r>
            <w:r>
              <w:rPr>
                <w:rFonts w:hint="eastAsia" w:eastAsia="宋体"/>
                <w:lang w:val="en-US" w:eastAsia="zh-CN"/>
              </w:rPr>
              <w:t xml:space="preserve">  </w:t>
            </w:r>
          </w:p>
          <w:p w14:paraId="7054E334">
            <w:pPr>
              <w:keepNext/>
              <w:keepLines/>
              <w:numPr>
                <w:ilvl w:val="0"/>
                <w:numId w:val="7"/>
              </w:numPr>
              <w:pBdr>
                <w:top w:val="none" w:color="auto" w:sz="0" w:space="4"/>
              </w:pBdr>
              <w:spacing w:after="120"/>
            </w:pPr>
            <w:r>
              <w:t xml:space="preserve">O. BOX: 3437 Riyadh 11471 </w:t>
            </w:r>
            <w:r>
              <w:rPr>
                <w:rFonts w:hint="eastAsia" w:eastAsia="宋体"/>
                <w:lang w:val="en-US" w:eastAsia="zh-CN"/>
              </w:rPr>
              <w:t xml:space="preserve">  </w:t>
            </w:r>
          </w:p>
          <w:p w14:paraId="7C64C4C9">
            <w:pPr>
              <w:keepNext/>
              <w:keepLines/>
              <w:numPr>
                <w:numId w:val="0"/>
              </w:numPr>
              <w:pBdr>
                <w:top w:val="none" w:color="auto" w:sz="0" w:space="4"/>
              </w:pBdr>
              <w:spacing w:after="120"/>
              <w:rPr>
                <w:rFonts w:hint="default" w:eastAsia="宋体"/>
                <w:lang w:val="en-US" w:eastAsia="zh-CN"/>
              </w:rPr>
            </w:pPr>
            <w:r>
              <w:t xml:space="preserve">Tel: +966(1)2529095 </w:t>
            </w:r>
            <w:r>
              <w:rPr>
                <w:rFonts w:hint="eastAsia" w:eastAsia="宋体"/>
                <w:lang w:val="en-US" w:eastAsia="zh-CN"/>
              </w:rPr>
              <w:t xml:space="preserve">  </w:t>
            </w:r>
          </w:p>
          <w:p w14:paraId="686AB334">
            <w:pPr>
              <w:keepNext/>
              <w:keepLines/>
              <w:numPr>
                <w:numId w:val="0"/>
              </w:numPr>
              <w:pBdr>
                <w:top w:val="none" w:color="auto" w:sz="0" w:space="4"/>
              </w:pBdr>
              <w:spacing w:after="120"/>
              <w:rPr>
                <w:rFonts w:hint="default" w:eastAsia="宋体"/>
                <w:lang w:val="en-US" w:eastAsia="zh-CN"/>
              </w:rPr>
            </w:pPr>
            <w:r>
              <w:t xml:space="preserve">Fax +966(1)4520086 </w:t>
            </w:r>
            <w:r>
              <w:rPr>
                <w:rFonts w:hint="eastAsia" w:eastAsia="宋体"/>
                <w:lang w:val="en-US" w:eastAsia="zh-CN"/>
              </w:rPr>
              <w:t xml:space="preserve">  </w:t>
            </w:r>
          </w:p>
          <w:p w14:paraId="71563067">
            <w:pPr>
              <w:keepNext/>
              <w:keepLines/>
              <w:numPr>
                <w:numId w:val="0"/>
              </w:numPr>
              <w:pBdr>
                <w:top w:val="none" w:color="auto" w:sz="0" w:space="4"/>
              </w:pBdr>
              <w:spacing w:after="120"/>
              <w:rPr>
                <w:rFonts w:hint="default" w:eastAsia="宋体"/>
                <w:lang w:val="en-US" w:eastAsia="zh-CN"/>
              </w:rPr>
            </w:pPr>
            <w:r>
              <w:t xml:space="preserve">Email: </w:t>
            </w:r>
            <w:r>
              <w:fldChar w:fldCharType="begin"/>
            </w:r>
            <w:r>
              <w:instrText xml:space="preserve"> HYPERLINK "mailto:enquirypoint@saso.gov.sa" </w:instrText>
            </w:r>
            <w:r>
              <w:fldChar w:fldCharType="separate"/>
            </w:r>
            <w:r>
              <w:rPr>
                <w:color w:val="0000FF"/>
                <w:u w:val="single"/>
              </w:rPr>
              <w:t>enquirypoint@saso.gov.sa</w:t>
            </w:r>
            <w:r>
              <w:rPr>
                <w:color w:val="0000FF"/>
                <w:u w:val="single"/>
              </w:rPr>
              <w:fldChar w:fldCharType="end"/>
            </w:r>
            <w:r>
              <w:t xml:space="preserve"> </w:t>
            </w:r>
            <w:r>
              <w:rPr>
                <w:rFonts w:hint="eastAsia" w:eastAsia="宋体"/>
                <w:lang w:val="en-US" w:eastAsia="zh-CN"/>
              </w:rPr>
              <w:t xml:space="preserve">  </w:t>
            </w:r>
          </w:p>
          <w:p w14:paraId="192663EC">
            <w:pPr>
              <w:keepNext/>
              <w:keepLines/>
              <w:numPr>
                <w:numId w:val="0"/>
              </w:numPr>
              <w:pBdr>
                <w:top w:val="none" w:color="auto" w:sz="0" w:space="4"/>
              </w:pBdr>
              <w:spacing w:after="120"/>
              <w:rPr>
                <w:rFonts w:hint="default" w:eastAsia="宋体"/>
                <w:bCs/>
                <w:lang w:val="en-US" w:eastAsia="zh-CN"/>
              </w:rPr>
            </w:pPr>
            <w:r>
              <w:t xml:space="preserve">Website: </w:t>
            </w:r>
            <w:r>
              <w:fldChar w:fldCharType="begin"/>
            </w:r>
            <w:r>
              <w:instrText xml:space="preserve"> HYPERLINK "http://www.saso.gov.sa" </w:instrText>
            </w:r>
            <w:r>
              <w:fldChar w:fldCharType="separate"/>
            </w:r>
            <w:r>
              <w:rPr>
                <w:rStyle w:val="242"/>
              </w:rPr>
              <w:t>www.saso.gov.sa</w:t>
            </w:r>
            <w:r>
              <w:fldChar w:fldCharType="end"/>
            </w:r>
            <w:r>
              <w:rPr>
                <w:rFonts w:hint="eastAsia" w:eastAsia="宋体"/>
                <w:lang w:val="en-US" w:eastAsia="zh-CN"/>
              </w:rPr>
              <w:t xml:space="preserve">   </w:t>
            </w:r>
            <w:bookmarkStart w:id="10" w:name="_GoBack"/>
            <w:bookmarkEnd w:id="10"/>
          </w:p>
          <w:p w14:paraId="1D5A670B">
            <w:pPr>
              <w:keepNext/>
              <w:keepLines/>
              <w:pBdr>
                <w:top w:val="none" w:color="auto" w:sz="0" w:space="4"/>
              </w:pBdr>
              <w:spacing w:after="120"/>
              <w:rPr>
                <w:bCs/>
              </w:rPr>
            </w:pPr>
          </w:p>
          <w:p w14:paraId="7B9330F2">
            <w:pPr>
              <w:keepNext/>
              <w:keepLines/>
              <w:pBdr>
                <w:top w:val="none" w:color="auto" w:sz="0" w:space="4"/>
              </w:pBdr>
              <w:spacing w:after="120"/>
              <w:rPr>
                <w:bCs/>
              </w:rPr>
            </w:pPr>
            <w:r>
              <w:fldChar w:fldCharType="begin"/>
            </w:r>
            <w:r>
              <w:instrText xml:space="preserve"> HYPERLINK "https://members.wto.org/crnattachments/2025/TBT/SAU/25_04499_00_x.pdf" \t "_blank" </w:instrText>
            </w:r>
            <w:r>
              <w:fldChar w:fldCharType="separate"/>
            </w:r>
            <w:r>
              <w:rPr>
                <w:iCs/>
                <w:color w:val="0000FF"/>
                <w:u w:val="single"/>
              </w:rPr>
              <w:t>https://members.wto.org/crnattachments/2025/TBT/SAU/25_04499_00_x.pdf</w:t>
            </w:r>
            <w:r>
              <w:rPr>
                <w:iCs/>
                <w:color w:val="0000FF"/>
                <w:u w:val="single"/>
              </w:rPr>
              <w:fldChar w:fldCharType="end"/>
            </w:r>
          </w:p>
        </w:tc>
      </w:tr>
    </w:tbl>
    <w:p w14:paraId="5A213AF8"/>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BB8C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12D2F">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A08EC">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27B87">
    <w:pPr>
      <w:pStyle w:val="58"/>
      <w:pBdr>
        <w:bottom w:val="single" w:color="auto" w:sz="4" w:space="1"/>
      </w:pBdr>
      <w:tabs>
        <w:tab w:val="clear" w:pos="4513"/>
        <w:tab w:val="clear" w:pos="9027"/>
      </w:tabs>
      <w:jc w:val="center"/>
    </w:pPr>
    <w:bookmarkStart w:id="9" w:name="spsSymbolHeader"/>
    <w:r>
      <w:t>G/TBT/N/ARE/660</w:t>
    </w:r>
    <w:bookmarkEnd w:id="9"/>
  </w:p>
  <w:p w14:paraId="1939D558">
    <w:pPr>
      <w:pStyle w:val="58"/>
      <w:pBdr>
        <w:bottom w:val="single" w:color="auto" w:sz="4" w:space="1"/>
      </w:pBdr>
      <w:tabs>
        <w:tab w:val="clear" w:pos="4513"/>
        <w:tab w:val="clear" w:pos="9027"/>
      </w:tabs>
      <w:jc w:val="center"/>
    </w:pPr>
  </w:p>
  <w:p w14:paraId="5ABA48A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78193D8">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5DC27">
    <w:pPr>
      <w:pStyle w:val="58"/>
      <w:pBdr>
        <w:bottom w:val="single" w:color="auto" w:sz="4" w:space="1"/>
      </w:pBdr>
      <w:tabs>
        <w:tab w:val="clear" w:pos="4513"/>
        <w:tab w:val="clear" w:pos="9027"/>
      </w:tabs>
      <w:jc w:val="center"/>
    </w:pPr>
    <w:r>
      <w:t>tbtSymbol</w:t>
    </w:r>
  </w:p>
  <w:p w14:paraId="7A5B6CED">
    <w:pPr>
      <w:pStyle w:val="58"/>
      <w:pBdr>
        <w:bottom w:val="single" w:color="auto" w:sz="4" w:space="1"/>
      </w:pBdr>
      <w:tabs>
        <w:tab w:val="clear" w:pos="4513"/>
        <w:tab w:val="clear" w:pos="9027"/>
      </w:tabs>
      <w:jc w:val="center"/>
    </w:pPr>
  </w:p>
  <w:p w14:paraId="206EB91C">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2C02822">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30AECF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BFD4AC8">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4F2AABBA">
          <w:pPr>
            <w:jc w:val="right"/>
            <w:rPr>
              <w:b/>
              <w:color w:val="FF0000"/>
              <w:szCs w:val="16"/>
            </w:rPr>
          </w:pPr>
        </w:p>
      </w:tc>
    </w:tr>
    <w:bookmarkEnd w:id="0"/>
    <w:tr w14:paraId="20AE5536">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530A262">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5D2525B">
          <w:pPr>
            <w:jc w:val="right"/>
            <w:rPr>
              <w:b/>
              <w:szCs w:val="16"/>
            </w:rPr>
          </w:pPr>
        </w:p>
      </w:tc>
    </w:tr>
    <w:tr w14:paraId="2B06F89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5B07BEAC">
          <w:pPr>
            <w:jc w:val="left"/>
            <w:rPr>
              <w:lang w:eastAsia="en-GB"/>
            </w:rPr>
          </w:pPr>
        </w:p>
      </w:tc>
      <w:tc>
        <w:tcPr>
          <w:tcW w:w="5448" w:type="dxa"/>
          <w:gridSpan w:val="2"/>
          <w:shd w:val="clear" w:color="auto" w:fill="FFFFFF"/>
          <w:tcMar>
            <w:left w:w="108" w:type="dxa"/>
            <w:right w:w="108" w:type="dxa"/>
          </w:tcMar>
        </w:tcPr>
        <w:p w14:paraId="4C1B77DA">
          <w:pPr>
            <w:jc w:val="right"/>
            <w:rPr>
              <w:b/>
              <w:szCs w:val="16"/>
            </w:rPr>
          </w:pPr>
          <w:bookmarkStart w:id="1" w:name="bmkSymbols"/>
          <w:r>
            <w:rPr>
              <w:b/>
              <w:szCs w:val="16"/>
            </w:rPr>
            <w:t>G/TBT/N/ARE/66</w:t>
          </w:r>
          <w:bookmarkEnd w:id="1"/>
          <w:r>
            <w:rPr>
              <w:b/>
              <w:szCs w:val="16"/>
            </w:rPr>
            <w:t>3, G/TBT/N/BHR/742</w:t>
          </w:r>
        </w:p>
        <w:p w14:paraId="0C063EDC">
          <w:pPr>
            <w:jc w:val="right"/>
            <w:rPr>
              <w:b/>
              <w:szCs w:val="16"/>
            </w:rPr>
          </w:pPr>
          <w:r>
            <w:rPr>
              <w:b/>
              <w:szCs w:val="16"/>
            </w:rPr>
            <w:t>G/TBT/N/KWT/727, G/TBT/N/OMN/565</w:t>
          </w:r>
        </w:p>
        <w:p w14:paraId="0C5C359C">
          <w:pPr>
            <w:jc w:val="right"/>
            <w:rPr>
              <w:rFonts w:hint="eastAsia" w:eastAsia="宋体"/>
              <w:b/>
              <w:szCs w:val="16"/>
              <w:lang w:val="en-US" w:eastAsia="zh-CN"/>
            </w:rPr>
          </w:pPr>
          <w:r>
            <w:rPr>
              <w:b/>
              <w:szCs w:val="16"/>
            </w:rPr>
            <w:t>G/TBT/N/QAT/718, G/TBT/N/SAU/1397 G/TBT/N/YEM/321</w:t>
          </w:r>
        </w:p>
      </w:tc>
    </w:tr>
    <w:tr w14:paraId="7938B804">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457C0A5B"/>
      </w:tc>
      <w:tc>
        <w:tcPr>
          <w:tcW w:w="5448" w:type="dxa"/>
          <w:gridSpan w:val="2"/>
          <w:shd w:val="clear" w:color="auto" w:fill="FFFFFF"/>
          <w:tcMar>
            <w:left w:w="108" w:type="dxa"/>
            <w:right w:w="108" w:type="dxa"/>
          </w:tcMar>
          <w:vAlign w:val="center"/>
        </w:tcPr>
        <w:p w14:paraId="42A619CD">
          <w:pPr>
            <w:jc w:val="right"/>
            <w:rPr>
              <w:szCs w:val="16"/>
            </w:rPr>
          </w:pPr>
          <w:bookmarkStart w:id="2" w:name="spsDateDistribution"/>
          <w:bookmarkStart w:id="3" w:name="bmkDate"/>
          <w:r>
            <w:rPr>
              <w:rFonts w:hint="eastAsia" w:eastAsia="宋体"/>
              <w:szCs w:val="16"/>
              <w:lang w:val="en-US" w:eastAsia="zh-CN"/>
            </w:rPr>
            <w:t>8</w:t>
          </w:r>
          <w:r>
            <w:rPr>
              <w:szCs w:val="16"/>
            </w:rPr>
            <w:t xml:space="preserve"> July 2025</w:t>
          </w:r>
          <w:bookmarkEnd w:id="2"/>
          <w:bookmarkEnd w:id="3"/>
        </w:p>
      </w:tc>
    </w:tr>
    <w:tr w14:paraId="7D6BBD3F">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0FF87CE6">
          <w:pPr>
            <w:jc w:val="left"/>
            <w:rPr>
              <w:b/>
            </w:rPr>
          </w:pPr>
          <w:bookmarkStart w:id="4" w:name="bmkSerial"/>
          <w:r>
            <w:rPr>
              <w:b w:val="0"/>
              <w:color w:val="FF0000"/>
            </w:rPr>
            <w:t>(25-</w:t>
          </w:r>
          <w:r>
            <w:rPr>
              <w:rFonts w:hint="eastAsia" w:eastAsia="宋体"/>
              <w:b w:val="0"/>
              <w:color w:val="FF0000"/>
              <w:lang w:val="en-US" w:eastAsia="zh-CN"/>
            </w:rPr>
            <w:t>4415</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4ADC3861">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49378BD">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29481C30">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4E6E327B">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8BE59E">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2141D8"/>
    <w:multiLevelType w:val="singleLevel"/>
    <w:tmpl w:val="D22141D8"/>
    <w:lvl w:ilvl="0" w:tentative="0">
      <w:start w:val="16"/>
      <w:numFmt w:val="upperLetter"/>
      <w:lvlText w:val="%1."/>
      <w:lvlJc w:val="left"/>
      <w:pPr>
        <w:tabs>
          <w:tab w:val="left" w:pos="312"/>
        </w:tabs>
      </w:pPr>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627EA"/>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94982"/>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B55F3"/>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4DD4"/>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0EF7"/>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03FFD"/>
    <w:rsid w:val="00F263FA"/>
    <w:rsid w:val="00F32397"/>
    <w:rsid w:val="00F40595"/>
    <w:rsid w:val="00F650F7"/>
    <w:rsid w:val="00F85C99"/>
    <w:rsid w:val="00F85CDF"/>
    <w:rsid w:val="00F97AEE"/>
    <w:rsid w:val="00FA4811"/>
    <w:rsid w:val="00FA5EBC"/>
    <w:rsid w:val="00FB1B6E"/>
    <w:rsid w:val="00FC54BA"/>
    <w:rsid w:val="00FC5D0F"/>
    <w:rsid w:val="00FD224A"/>
    <w:rsid w:val="00FD4593"/>
    <w:rsid w:val="00FD58DA"/>
    <w:rsid w:val="00FE057A"/>
    <w:rsid w:val="00FE3ED0"/>
    <w:rsid w:val="00FE448B"/>
    <w:rsid w:val="00FF4616"/>
    <w:rsid w:val="00FF5C69"/>
    <w:rsid w:val="00FF7101"/>
    <w:rsid w:val="0D5F7083"/>
    <w:rsid w:val="1A8E6614"/>
    <w:rsid w:val="385072E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98C6255F-50F6-44ED-B58E-01A3621C96BF}">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662</Words>
  <Characters>3997</Characters>
  <Lines>54</Lines>
  <Paragraphs>41</Paragraphs>
  <TotalTime>0</TotalTime>
  <ScaleCrop>false</ScaleCrop>
  <LinksUpToDate>false</LinksUpToDate>
  <CharactersWithSpaces>4584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2025-05-26T12:45:00Z</dcterms:created>
  <dc:description>LDIMD - DTU</dc:description>
  <dcterms:modified xsi:type="dcterms:W3CDTF">2025-07-08T15:19:15Z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384AC683E3374CFE8AEEDA3981C7EBE0_12</vt:lpwstr>
  </property>
</Properties>
</file>