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086375">
      <w:pPr>
        <w:pStyle w:val="84"/>
        <w:rPr>
          <w:caps w:val="0"/>
          <w:kern w:val="0"/>
        </w:rPr>
      </w:pPr>
      <w:r>
        <w:rPr>
          <w:caps w:val="0"/>
          <w:kern w:val="0"/>
        </w:rPr>
        <w:t>NOTIFICATION</w:t>
      </w:r>
    </w:p>
    <w:p w14:paraId="26DC634F">
      <w:pPr>
        <w:jc w:val="center"/>
      </w:pPr>
      <w:r>
        <w:t>The following notification is being circulated in accordance with Article 10.6</w:t>
      </w:r>
    </w:p>
    <w:p w14:paraId="6FDAA570"/>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474E1D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209AE6D">
            <w:pPr>
              <w:spacing w:before="120" w:after="120"/>
              <w:jc w:val="left"/>
            </w:pPr>
            <w:r>
              <w:rPr>
                <w:b/>
              </w:rPr>
              <w:t>1.</w:t>
            </w:r>
          </w:p>
        </w:tc>
        <w:tc>
          <w:tcPr>
            <w:tcW w:w="8546" w:type="dxa"/>
            <w:tcBorders>
              <w:bottom w:val="single" w:color="auto" w:sz="6" w:space="0"/>
            </w:tcBorders>
            <w:shd w:val="clear" w:color="auto" w:fill="auto"/>
          </w:tcPr>
          <w:p w14:paraId="38756570">
            <w:pPr>
              <w:spacing w:before="120" w:after="120"/>
            </w:pPr>
            <w:r>
              <w:rPr>
                <w:b/>
              </w:rPr>
              <w:t>Notifying Member:</w:t>
            </w:r>
            <w:r>
              <w:t xml:space="preserve"> </w:t>
            </w:r>
            <w:r>
              <w:rPr>
                <w:u w:val="single"/>
              </w:rPr>
              <w:t>JAPAN</w:t>
            </w:r>
          </w:p>
          <w:p w14:paraId="0AC14B5D">
            <w:pPr>
              <w:spacing w:after="120"/>
            </w:pPr>
            <w:r>
              <w:rPr>
                <w:b/>
              </w:rPr>
              <w:t>If applicable, name of local government involved (Article 3.2 and 7.2):</w:t>
            </w:r>
            <w:r>
              <w:t xml:space="preserve"> </w:t>
            </w:r>
          </w:p>
        </w:tc>
      </w:tr>
      <w:tr w14:paraId="615187E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07B6CB">
            <w:pPr>
              <w:spacing w:before="120" w:after="120"/>
              <w:jc w:val="left"/>
            </w:pPr>
            <w:r>
              <w:rPr>
                <w:b/>
              </w:rPr>
              <w:t>2.</w:t>
            </w:r>
          </w:p>
        </w:tc>
        <w:tc>
          <w:tcPr>
            <w:tcW w:w="8546" w:type="dxa"/>
            <w:tcBorders>
              <w:top w:val="single" w:color="auto" w:sz="6" w:space="0"/>
              <w:bottom w:val="single" w:color="auto" w:sz="6" w:space="0"/>
            </w:tcBorders>
            <w:shd w:val="clear" w:color="auto" w:fill="auto"/>
          </w:tcPr>
          <w:p w14:paraId="59FC2F22">
            <w:pPr>
              <w:spacing w:before="120" w:after="120"/>
            </w:pPr>
            <w:r>
              <w:rPr>
                <w:b/>
              </w:rPr>
              <w:t>Agency responsible:</w:t>
            </w:r>
            <w:r>
              <w:t xml:space="preserve"> </w:t>
            </w:r>
          </w:p>
          <w:p w14:paraId="2266D263">
            <w:pPr>
              <w:spacing w:after="120"/>
            </w:pPr>
            <w:r>
              <w:t>Ministry of Health, Labour and Welfare (MHLW)</w:t>
            </w:r>
          </w:p>
          <w:p w14:paraId="04E50731">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1757C0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FD70C4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7FF8A9D">
            <w:pPr>
              <w:spacing w:before="120" w:after="120"/>
            </w:pPr>
            <w:r>
              <w:rPr>
                <w:b/>
              </w:rPr>
              <w:t>Notified under Article 2.9.2 [</w:t>
            </w:r>
            <w:r>
              <w:rPr>
                <w:rFonts w:hint="eastAsia" w:eastAsia="宋体"/>
                <w:b/>
                <w:lang w:val="en-US" w:eastAsia="zh-CN"/>
              </w:rPr>
              <w:t xml:space="preserve"> </w:t>
            </w:r>
            <w:r>
              <w:rPr>
                <w:b/>
              </w:rPr>
              <w:t>], 2.10.1 [X], 5.6.2 [ ], 5.7.1 [ ], 3.2 [ ], 7.2 [ ], other:</w:t>
            </w:r>
            <w:r>
              <w:t xml:space="preserve"> </w:t>
            </w:r>
          </w:p>
        </w:tc>
      </w:tr>
      <w:tr w14:paraId="4E37478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2508D2">
            <w:pPr>
              <w:spacing w:before="120" w:after="120"/>
              <w:jc w:val="left"/>
            </w:pPr>
            <w:r>
              <w:rPr>
                <w:b/>
              </w:rPr>
              <w:t>4.</w:t>
            </w:r>
          </w:p>
        </w:tc>
        <w:tc>
          <w:tcPr>
            <w:tcW w:w="8546" w:type="dxa"/>
            <w:tcBorders>
              <w:top w:val="single" w:color="auto" w:sz="6" w:space="0"/>
              <w:bottom w:val="single" w:color="auto" w:sz="6" w:space="0"/>
            </w:tcBorders>
            <w:shd w:val="clear" w:color="auto" w:fill="auto"/>
          </w:tcPr>
          <w:p w14:paraId="3ED00AB3">
            <w:pPr>
              <w:spacing w:before="120" w:after="120"/>
            </w:pPr>
            <w:r>
              <w:rPr>
                <w:b/>
              </w:rPr>
              <w:t>Products covered (HS or CCCN where applicable, otherwise national tariff heading. ICS numbers may be provided in addition, where applicable):</w:t>
            </w:r>
            <w:r>
              <w:t xml:space="preserve"> Substances with probable effects on the central nervous system</w:t>
            </w:r>
          </w:p>
        </w:tc>
      </w:tr>
      <w:tr w14:paraId="77137E7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9BFCFFF">
            <w:pPr>
              <w:spacing w:before="120" w:after="120"/>
              <w:jc w:val="left"/>
            </w:pPr>
            <w:r>
              <w:rPr>
                <w:b/>
              </w:rPr>
              <w:t>5.</w:t>
            </w:r>
          </w:p>
        </w:tc>
        <w:tc>
          <w:tcPr>
            <w:tcW w:w="8546" w:type="dxa"/>
            <w:tcBorders>
              <w:top w:val="single" w:color="auto" w:sz="6" w:space="0"/>
              <w:bottom w:val="single" w:color="auto" w:sz="6" w:space="0"/>
            </w:tcBorders>
            <w:shd w:val="clear" w:color="auto" w:fill="auto"/>
          </w:tcPr>
          <w:p w14:paraId="0E9B4E32">
            <w:pPr>
              <w:spacing w:before="120" w:after="120"/>
            </w:pPr>
            <w:r>
              <w:rPr>
                <w:b/>
              </w:rPr>
              <w:t>Title, number of pages and language(s) of the notified document:</w:t>
            </w:r>
            <w:r>
              <w:t xml:space="preserve"> Designation of </w:t>
            </w:r>
            <w:r>
              <w:rPr>
                <w:i/>
                <w:iCs/>
              </w:rPr>
              <w:t>Shitei Yakubutsu</w:t>
            </w:r>
            <w:r>
              <w:t xml:space="preserve"> (designated substances), based on the Act on Securing Quality, Efficacy and Safety of Products Including Pharmaceuticals and Medical Devices (hereinafter referred to as the Act). (1960, Law No.145); (1 page(s), in English)</w:t>
            </w:r>
          </w:p>
        </w:tc>
      </w:tr>
      <w:tr w14:paraId="5554C9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1E8C007">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191BA9FB">
            <w:pPr>
              <w:spacing w:before="120" w:after="120"/>
              <w:rPr>
                <w:b/>
              </w:rPr>
            </w:pPr>
            <w:r>
              <w:rPr>
                <w:b/>
              </w:rPr>
              <w:t>Description of content:</w:t>
            </w:r>
            <w:r>
              <w:t xml:space="preserve"> Proposal for the additional designation of 3 substances as </w:t>
            </w:r>
            <w:r>
              <w:rPr>
                <w:i/>
                <w:iCs/>
              </w:rPr>
              <w:t>Shitei</w:t>
            </w:r>
            <w:r>
              <w:t xml:space="preserve"> </w:t>
            </w:r>
            <w:r>
              <w:rPr>
                <w:i/>
                <w:iCs/>
              </w:rPr>
              <w:t>Yakubutsu</w:t>
            </w:r>
            <w:r>
              <w:t>, and their proper uses under the Act.</w:t>
            </w:r>
          </w:p>
        </w:tc>
      </w:tr>
      <w:tr w14:paraId="2B40F46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0B26492">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46C9153F">
            <w:pPr>
              <w:spacing w:before="120" w:after="120"/>
              <w:rPr>
                <w:b/>
              </w:rPr>
            </w:pPr>
            <w:r>
              <w:rPr>
                <w:b/>
              </w:rPr>
              <w:t>Objective and rationale, including the nature of urgent problems where applicable:</w:t>
            </w:r>
            <w:r>
              <w:t xml:space="preserve"> In order to prevent the abuse of substances with probable effects on the central nervous system and to clarify the regulation under the Act, the MHLW designates such substances as </w:t>
            </w:r>
            <w:r>
              <w:rPr>
                <w:i/>
                <w:iCs/>
              </w:rPr>
              <w:t>ShiteiYakubutsu</w:t>
            </w:r>
            <w:r>
              <w:t xml:space="preserve">. Manufacture, import, sale, simple ownership and the use of </w:t>
            </w:r>
            <w:r>
              <w:rPr>
                <w:i/>
                <w:iCs/>
              </w:rPr>
              <w:t>ShiteiYakubutsu</w:t>
            </w:r>
            <w:r>
              <w:t xml:space="preserve"> are banned except for the proper uses designated under the Act.</w:t>
            </w:r>
          </w:p>
        </w:tc>
      </w:tr>
      <w:tr w14:paraId="1D068F8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5ED813D">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3383EF3B">
            <w:pPr>
              <w:spacing w:before="120" w:after="120"/>
              <w:rPr>
                <w:bCs/>
              </w:rPr>
            </w:pPr>
            <w:r>
              <w:rPr>
                <w:b/>
              </w:rPr>
              <w:t>Relevant documents:</w:t>
            </w:r>
            <w:r>
              <w:t xml:space="preserve"> </w:t>
            </w:r>
          </w:p>
          <w:p w14:paraId="2A3421B8">
            <w:pPr>
              <w:spacing w:before="120" w:after="120"/>
            </w:pPr>
            <w:r>
              <w:t>The Act on Securing Quality, Efficacy and Safety of Products Including Pharmaceuticals and Medical Devices.</w:t>
            </w:r>
          </w:p>
          <w:p w14:paraId="2CFE4ABD">
            <w:pPr>
              <w:spacing w:before="120" w:after="120"/>
            </w:pPr>
            <w:r>
              <w:fldChar w:fldCharType="begin"/>
            </w:r>
            <w:r>
              <w:instrText xml:space="preserve"> HYPERLINK "https://www.japaneselawtranslation.go.jp/en/laws/view/3213" </w:instrText>
            </w:r>
            <w:r>
              <w:fldChar w:fldCharType="separate"/>
            </w:r>
            <w:r>
              <w:rPr>
                <w:color w:val="0000FF"/>
                <w:u w:val="single"/>
              </w:rPr>
              <w:t>https://www.japaneselawtranslation.go.jp/en/laws/view/3213</w:t>
            </w:r>
            <w:r>
              <w:rPr>
                <w:color w:val="0000FF"/>
                <w:u w:val="single"/>
              </w:rPr>
              <w:fldChar w:fldCharType="end"/>
            </w:r>
          </w:p>
          <w:p w14:paraId="328605A9">
            <w:pPr>
              <w:spacing w:before="120" w:after="120"/>
            </w:pPr>
            <w:r>
              <w:t xml:space="preserve">When adopted, </w:t>
            </w:r>
            <w:r>
              <w:rPr>
                <w:i/>
                <w:iCs/>
              </w:rPr>
              <w:t>Shitei Yakubutsu</w:t>
            </w:r>
            <w:r>
              <w:t xml:space="preserve"> (designated substances) and their proper uses will be publicized in the Official Gazette, </w:t>
            </w:r>
            <w:r>
              <w:rPr>
                <w:i/>
                <w:iCs/>
              </w:rPr>
              <w:t>KAMPO</w:t>
            </w:r>
            <w:r>
              <w:t>.</w:t>
            </w:r>
          </w:p>
          <w:p w14:paraId="5A93E56E">
            <w:pPr>
              <w:spacing w:before="120" w:after="120"/>
            </w:pPr>
            <w:r>
              <w:rPr>
                <w:b/>
                <w:bCs/>
              </w:rPr>
              <w:t>Relevant notifications:</w:t>
            </w:r>
          </w:p>
          <w:p w14:paraId="11C5C987">
            <w:pPr>
              <w:spacing w:before="120" w:after="120"/>
            </w:pPr>
            <w:r>
              <w:fldChar w:fldCharType="begin"/>
            </w:r>
            <w:r>
              <w:instrText xml:space="preserve"> HYPERLINK "https://eping.wto.org/en/Search/Index?viewData=G/TBT/N/JPN/864" </w:instrText>
            </w:r>
            <w:r>
              <w:fldChar w:fldCharType="separate"/>
            </w:r>
            <w:r>
              <w:rPr>
                <w:color w:val="0000FF"/>
                <w:u w:val="single"/>
              </w:rPr>
              <w:t>G/TBT/N/JPN/864</w:t>
            </w:r>
            <w:r>
              <w:rPr>
                <w:color w:val="0000FF"/>
                <w:u w:val="single"/>
              </w:rPr>
              <w:fldChar w:fldCharType="end"/>
            </w:r>
          </w:p>
        </w:tc>
      </w:tr>
      <w:tr w14:paraId="34C989C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1FBD1C1D">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4EC57DB">
            <w:pPr>
              <w:spacing w:before="120" w:after="120"/>
            </w:pPr>
            <w:r>
              <w:rPr>
                <w:b/>
              </w:rPr>
              <w:t>Proposed date of adoption:</w:t>
            </w:r>
            <w:r>
              <w:t xml:space="preserve"> 3 July 2025</w:t>
            </w:r>
          </w:p>
          <w:p w14:paraId="69F345CC">
            <w:pPr>
              <w:spacing w:after="120"/>
            </w:pPr>
            <w:r>
              <w:rPr>
                <w:b/>
              </w:rPr>
              <w:t>Proposed date of entry into force:</w:t>
            </w:r>
            <w:r>
              <w:t xml:space="preserve"> 13 July 2025</w:t>
            </w:r>
          </w:p>
        </w:tc>
      </w:tr>
      <w:tr w14:paraId="5BFD170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B6D1D6">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9CC9F9">
            <w:pPr>
              <w:spacing w:before="120" w:after="120"/>
            </w:pPr>
            <w:r>
              <w:rPr>
                <w:b/>
              </w:rPr>
              <w:t>Final date for comments:</w:t>
            </w:r>
            <w:r>
              <w:t xml:space="preserve"> Not Applicable</w:t>
            </w:r>
          </w:p>
        </w:tc>
      </w:tr>
      <w:tr w14:paraId="77E8C2C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1768F230">
            <w:pPr>
              <w:keepNext/>
              <w:keepLines/>
              <w:spacing w:before="120" w:after="120"/>
              <w:jc w:val="left"/>
              <w:rPr>
                <w:b/>
              </w:rPr>
            </w:pPr>
            <w:r>
              <w:rPr>
                <w:b/>
              </w:rPr>
              <w:t>11.</w:t>
            </w:r>
          </w:p>
        </w:tc>
        <w:tc>
          <w:tcPr>
            <w:tcW w:w="8546" w:type="dxa"/>
            <w:tcBorders>
              <w:top w:val="single" w:color="auto" w:sz="6" w:space="0"/>
            </w:tcBorders>
            <w:shd w:val="clear" w:color="auto" w:fill="auto"/>
          </w:tcPr>
          <w:p w14:paraId="301FC6F9">
            <w:pPr>
              <w:keepNext/>
              <w:keepLines/>
              <w:spacing w:before="120" w:after="120"/>
            </w:pPr>
            <w:r>
              <w:rPr>
                <w:b/>
              </w:rPr>
              <w:t>Texts available from: National enquiry point [</w:t>
            </w:r>
            <w:r>
              <w:rPr>
                <w:rFonts w:hint="eastAsia" w:eastAsia="宋体"/>
                <w:b/>
                <w:lang w:val="en-US" w:eastAsia="zh-CN"/>
              </w:rPr>
              <w:t xml:space="preserve"> </w:t>
            </w:r>
            <w:bookmarkStart w:id="10" w:name="_GoBack"/>
            <w:bookmarkEnd w:id="10"/>
            <w:r>
              <w:rPr>
                <w:b/>
              </w:rPr>
              <w:t>] or address, telephone and fax numbers and email and website addresses, if available, of other body:</w:t>
            </w:r>
            <w:r>
              <w:rPr>
                <w:bCs/>
              </w:rPr>
              <w:t xml:space="preserve"> </w:t>
            </w:r>
          </w:p>
          <w:p w14:paraId="4E210663">
            <w:pPr>
              <w:keepNext/>
              <w:keepLines/>
              <w:rPr>
                <w:bCs/>
              </w:rPr>
            </w:pPr>
            <w:r>
              <w:rPr>
                <w:bCs/>
              </w:rPr>
              <w:t>Japan TBT Enquiry Point</w:t>
            </w:r>
          </w:p>
          <w:p w14:paraId="63FEEC30">
            <w:pPr>
              <w:keepNext/>
              <w:keepLines/>
              <w:rPr>
                <w:bCs/>
              </w:rPr>
            </w:pPr>
            <w:r>
              <w:rPr>
                <w:bCs/>
              </w:rPr>
              <w:t>International Trade Division</w:t>
            </w:r>
          </w:p>
          <w:p w14:paraId="45B7E0AD">
            <w:pPr>
              <w:keepNext/>
              <w:keepLines/>
              <w:rPr>
                <w:bCs/>
              </w:rPr>
            </w:pPr>
            <w:r>
              <w:rPr>
                <w:bCs/>
              </w:rPr>
              <w:t>Economic Affairs Bureau</w:t>
            </w:r>
          </w:p>
          <w:p w14:paraId="3A3334A0">
            <w:pPr>
              <w:keepNext/>
              <w:keepLines/>
              <w:rPr>
                <w:bCs/>
              </w:rPr>
            </w:pPr>
            <w:r>
              <w:rPr>
                <w:bCs/>
              </w:rPr>
              <w:t>Ministry of Foreign Affairs</w:t>
            </w:r>
          </w:p>
          <w:p w14:paraId="5976A78E">
            <w:pPr>
              <w:keepNext/>
              <w:keepLines/>
              <w:rPr>
                <w:bCs/>
              </w:rPr>
            </w:pPr>
            <w:r>
              <w:rPr>
                <w:bCs/>
              </w:rPr>
              <w:t xml:space="preserve">E-mail: </w:t>
            </w:r>
            <w:r>
              <w:fldChar w:fldCharType="begin"/>
            </w:r>
            <w:r>
              <w:instrText xml:space="preserve"> HYPERLINK "mailto:enquiry@mofa.go.jp" </w:instrText>
            </w:r>
            <w:r>
              <w:fldChar w:fldCharType="separate"/>
            </w:r>
            <w:r>
              <w:rPr>
                <w:bCs/>
                <w:color w:val="0000FF"/>
                <w:u w:val="single"/>
              </w:rPr>
              <w:t>enquiry@mofa.go.jp</w:t>
            </w:r>
            <w:r>
              <w:rPr>
                <w:bCs/>
                <w:color w:val="0000FF"/>
                <w:u w:val="single"/>
              </w:rPr>
              <w:fldChar w:fldCharType="end"/>
            </w:r>
          </w:p>
          <w:p w14:paraId="29131ED5">
            <w:pPr>
              <w:pBdr>
                <w:top w:val="none" w:color="auto" w:sz="0" w:space="4"/>
                <w:bottom w:val="none" w:color="auto" w:sz="0" w:space="4"/>
              </w:pBdr>
            </w:pPr>
          </w:p>
          <w:p w14:paraId="29996624">
            <w:pPr>
              <w:pBdr>
                <w:top w:val="none" w:color="auto" w:sz="0" w:space="4"/>
                <w:bottom w:val="none" w:color="auto" w:sz="0" w:space="4"/>
              </w:pBdr>
              <w:rPr>
                <w:bCs/>
              </w:rPr>
            </w:pPr>
            <w:r>
              <w:fldChar w:fldCharType="begin"/>
            </w:r>
            <w:r>
              <w:instrText xml:space="preserve"> HYPERLINK "https://members.wto.org/crnattachments/2025/TBT/JPN/25_04428_00_e.pdf" \t "_blank" </w:instrText>
            </w:r>
            <w:r>
              <w:fldChar w:fldCharType="separate"/>
            </w:r>
            <w:r>
              <w:rPr>
                <w:iCs/>
                <w:color w:val="0000FF"/>
                <w:u w:val="single"/>
              </w:rPr>
              <w:t>https://members.wto.org/crnattachments/2025/TBT/JPN/25_04428_00_e.pdf</w:t>
            </w:r>
            <w:r>
              <w:rPr>
                <w:iCs/>
                <w:color w:val="0000FF"/>
                <w:u w:val="single"/>
              </w:rPr>
              <w:fldChar w:fldCharType="end"/>
            </w:r>
          </w:p>
        </w:tc>
      </w:tr>
    </w:tbl>
    <w:p w14:paraId="37842F05"/>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Consolas">
    <w:panose1 w:val="020B0609020204030204"/>
    <w:charset w:val="00"/>
    <w:family w:val="modern"/>
    <w:pitch w:val="default"/>
    <w:sig w:usb0="E10002FF" w:usb1="4000FCFF" w:usb2="00000009" w:usb3="00000000" w:csb0="6000019F" w:csb1="DFD7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7424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2ADF4">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8B87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D8D20">
    <w:pPr>
      <w:pStyle w:val="58"/>
      <w:pBdr>
        <w:bottom w:val="single" w:color="auto" w:sz="4" w:space="1"/>
      </w:pBdr>
      <w:tabs>
        <w:tab w:val="clear" w:pos="4513"/>
        <w:tab w:val="clear" w:pos="9027"/>
      </w:tabs>
      <w:jc w:val="center"/>
    </w:pPr>
    <w:bookmarkStart w:id="0" w:name="spsSymbolHeader"/>
    <w:r>
      <w:t>G/TBT/N/JPN/865</w:t>
    </w:r>
    <w:bookmarkEnd w:id="0"/>
  </w:p>
  <w:p w14:paraId="3E2BD6F9">
    <w:pPr>
      <w:pStyle w:val="58"/>
      <w:pBdr>
        <w:bottom w:val="single" w:color="auto" w:sz="4" w:space="1"/>
      </w:pBdr>
      <w:tabs>
        <w:tab w:val="clear" w:pos="4513"/>
        <w:tab w:val="clear" w:pos="9027"/>
      </w:tabs>
      <w:jc w:val="center"/>
    </w:pPr>
  </w:p>
  <w:p w14:paraId="32E2D9D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3CBB63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8B092">
    <w:pPr>
      <w:pStyle w:val="58"/>
      <w:pBdr>
        <w:bottom w:val="single" w:color="auto" w:sz="4" w:space="1"/>
      </w:pBdr>
      <w:tabs>
        <w:tab w:val="clear" w:pos="4513"/>
        <w:tab w:val="clear" w:pos="9027"/>
      </w:tabs>
      <w:jc w:val="center"/>
    </w:pPr>
    <w:r>
      <w:t>tbtSymbol</w:t>
    </w:r>
  </w:p>
  <w:p w14:paraId="160AB96B">
    <w:pPr>
      <w:pStyle w:val="58"/>
      <w:pBdr>
        <w:bottom w:val="single" w:color="auto" w:sz="4" w:space="1"/>
      </w:pBdr>
      <w:tabs>
        <w:tab w:val="clear" w:pos="4513"/>
        <w:tab w:val="clear" w:pos="9027"/>
      </w:tabs>
      <w:jc w:val="center"/>
    </w:pPr>
  </w:p>
  <w:p w14:paraId="3477F25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8981352">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0CBFCF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AB7A1AF">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01C2949D">
          <w:pPr>
            <w:jc w:val="right"/>
            <w:rPr>
              <w:b/>
              <w:color w:val="FF0000"/>
              <w:szCs w:val="16"/>
            </w:rPr>
          </w:pPr>
        </w:p>
      </w:tc>
    </w:tr>
    <w:bookmarkEnd w:id="1"/>
    <w:tr w14:paraId="0128703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CB35BFB">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17DC8008">
          <w:pPr>
            <w:jc w:val="right"/>
            <w:rPr>
              <w:b/>
              <w:szCs w:val="16"/>
            </w:rPr>
          </w:pPr>
        </w:p>
      </w:tc>
    </w:tr>
    <w:tr w14:paraId="16C6E19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7651E56">
          <w:pPr>
            <w:jc w:val="left"/>
            <w:rPr>
              <w:lang w:eastAsia="en-GB"/>
            </w:rPr>
          </w:pPr>
        </w:p>
      </w:tc>
      <w:tc>
        <w:tcPr>
          <w:tcW w:w="5448" w:type="dxa"/>
          <w:gridSpan w:val="2"/>
          <w:shd w:val="clear" w:color="auto" w:fill="FFFFFF"/>
          <w:tcMar>
            <w:left w:w="108" w:type="dxa"/>
            <w:right w:w="108" w:type="dxa"/>
          </w:tcMar>
        </w:tcPr>
        <w:p w14:paraId="4D49797F">
          <w:pPr>
            <w:jc w:val="right"/>
            <w:rPr>
              <w:rFonts w:hint="default" w:eastAsia="宋体"/>
              <w:b/>
              <w:szCs w:val="16"/>
              <w:lang w:val="en-US" w:eastAsia="zh-CN"/>
            </w:rPr>
          </w:pPr>
          <w:bookmarkStart w:id="2" w:name="bmkSymbols"/>
          <w:r>
            <w:rPr>
              <w:b/>
              <w:szCs w:val="16"/>
            </w:rPr>
            <w:t>G/TBT/N/JPN/8</w:t>
          </w:r>
          <w:bookmarkEnd w:id="2"/>
          <w:r>
            <w:rPr>
              <w:rFonts w:hint="eastAsia" w:eastAsia="宋体"/>
              <w:b/>
              <w:szCs w:val="16"/>
              <w:lang w:val="en-US" w:eastAsia="zh-CN"/>
            </w:rPr>
            <w:t>70</w:t>
          </w:r>
        </w:p>
      </w:tc>
    </w:tr>
    <w:tr w14:paraId="51E2481E">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66C8C43A"/>
      </w:tc>
      <w:tc>
        <w:tcPr>
          <w:tcW w:w="5448" w:type="dxa"/>
          <w:gridSpan w:val="2"/>
          <w:shd w:val="clear" w:color="auto" w:fill="FFFFFF"/>
          <w:tcMar>
            <w:left w:w="108" w:type="dxa"/>
            <w:right w:w="108" w:type="dxa"/>
          </w:tcMar>
          <w:vAlign w:val="center"/>
        </w:tcPr>
        <w:p w14:paraId="3F1CE0A1">
          <w:pPr>
            <w:jc w:val="right"/>
            <w:rPr>
              <w:szCs w:val="16"/>
            </w:rPr>
          </w:pPr>
          <w:bookmarkStart w:id="3" w:name="bmkDate"/>
          <w:bookmarkStart w:id="4" w:name="spsDateDistribution"/>
          <w:r>
            <w:rPr>
              <w:szCs w:val="16"/>
            </w:rPr>
            <w:t>4 July 2025</w:t>
          </w:r>
          <w:bookmarkEnd w:id="3"/>
          <w:bookmarkEnd w:id="4"/>
        </w:p>
      </w:tc>
    </w:tr>
    <w:tr w14:paraId="07F67E1F">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0F5999C">
          <w:pPr>
            <w:jc w:val="left"/>
            <w:rPr>
              <w:b/>
            </w:rPr>
          </w:pPr>
          <w:bookmarkStart w:id="5" w:name="bmkSerial"/>
          <w:r>
            <w:rPr>
              <w:b w:val="0"/>
              <w:color w:val="FF0000"/>
            </w:rPr>
            <w:t>(25-</w:t>
          </w:r>
          <w:r>
            <w:rPr>
              <w:rFonts w:hint="eastAsia" w:eastAsia="宋体"/>
              <w:b w:val="0"/>
              <w:color w:val="FF0000"/>
              <w:lang w:val="en-US" w:eastAsia="zh-CN"/>
            </w:rPr>
            <w:t>435</w:t>
          </w:r>
          <w:r>
            <w:rPr>
              <w:b w:val="0"/>
              <w:color w:val="FF0000"/>
            </w:rPr>
            <w:t>7)</w:t>
          </w:r>
          <w:bookmarkEnd w:id="5"/>
        </w:p>
      </w:tc>
      <w:tc>
        <w:tcPr>
          <w:tcW w:w="3325" w:type="dxa"/>
          <w:tcBorders>
            <w:bottom w:val="single" w:color="auto" w:sz="4" w:space="0"/>
          </w:tcBorders>
          <w:tcMar>
            <w:top w:w="0" w:type="dxa"/>
            <w:left w:w="108" w:type="dxa"/>
            <w:bottom w:w="57" w:type="dxa"/>
            <w:right w:w="108" w:type="dxa"/>
          </w:tcMar>
          <w:vAlign w:val="bottom"/>
        </w:tcPr>
        <w:p w14:paraId="1912F966">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23DC5553">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6512A5B">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42D29649">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56C20CB8">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47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04D0"/>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1F5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2E13"/>
    <w:rsid w:val="00C379C8"/>
    <w:rsid w:val="00C40E47"/>
    <w:rsid w:val="00C43456"/>
    <w:rsid w:val="00C43F2C"/>
    <w:rsid w:val="00C46583"/>
    <w:rsid w:val="00C47FCA"/>
    <w:rsid w:val="00C65C0C"/>
    <w:rsid w:val="00C71F70"/>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518E"/>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00D2E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uiPriority="99" w:name="index 2"/>
    <w:lsdException w:uiPriority="99" w:name="index 3"/>
    <w:lsdException w:uiPriority="99" w:name="index 4"/>
    <w:lsdException w:uiPriority="99" w:name="index 5"/>
    <w:lsdException w:qFormat="1" w:uiPriority="99" w:name="index 6"/>
    <w:lsdException w:qFormat="1" w:uiPriority="99" w:name="index 7"/>
    <w:lsdException w:qFormat="1"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unhideWhenUsed="0" w:uiPriority="39" w:semiHidden="0" w:name="toc 8"/>
    <w:lsdException w:qFormat="1" w:unhideWhenUsed="0" w:uiPriority="39" w:semiHidden="0" w:name="toc 9"/>
    <w:lsdException w:uiPriority="99" w:name="Normal Indent"/>
    <w:lsdException w:qFormat="1" w:unhideWhenUsed="0" w:uiPriority="5" w:semiHidden="0" w:name="footnote text"/>
    <w:lsdException w:uiPriority="99" w:semiHidden="0" w:name="annotation text"/>
    <w:lsdException w:qFormat="1" w:unhideWhenUsed="0" w:uiPriority="3" w:semiHidden="0" w:name="header"/>
    <w:lsdException w:unhideWhenUsed="0" w:uiPriority="3" w:semiHidden="0" w:name="footer"/>
    <w:lsdException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unhideWhenUsed="0" w:uiPriority="5" w:semiHidden="0" w:name="footnote reference"/>
    <w:lsdException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uiPriority="99" w:name="macro"/>
    <w:lsdException w:uiPriority="39" w:semiHidden="0" w:name="toa heading"/>
    <w:lsdException w:uiPriority="99" w:name="List"/>
    <w:lsdException w:qFormat="1" w:unhideWhenUsed="0" w:uiPriority="1" w:semiHidden="0" w:name="List Bullet"/>
    <w:lsdException w:uiPriority="49" w:name="List Number"/>
    <w:lsdException w:uiPriority="99" w:name="List 2"/>
    <w:lsdException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uiPriority="49" w:name="List Number 5"/>
    <w:lsdException w:qFormat="1" w:unhideWhenUsed="0" w:uiPriority="5" w:semiHidden="0" w:name="Title"/>
    <w:lsdException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uiPriority="99" w:name="Date"/>
    <w:lsdException w:qFormat="1" w:uiPriority="99" w:name="Body Text First Indent"/>
    <w:lsdException w:qFormat="1" w:uiPriority="99" w:name="Body Text First Indent 2"/>
    <w:lsdException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uiPriority="99" w:name="Table Colorful 2"/>
    <w:lsdException w:qFormat="1" w:uiPriority="99" w:name="Table Colorful 3"/>
    <w:lsdException w:qFormat="1" w:uiPriority="99" w:name="Table Columns 1"/>
    <w:lsdException w:uiPriority="99" w:name="Table Columns 2"/>
    <w:lsdException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uiPriority="99" w:name="Table List 2"/>
    <w:lsdException w:qFormat="1" w:uiPriority="99" w:name="Table List 3"/>
    <w:lsdException w:qFormat="1" w:uiPriority="99" w:name="Table List 4"/>
    <w:lsdException w:uiPriority="99" w:name="Table List 5"/>
    <w:lsdException w:qFormat="1" w:uiPriority="99" w:name="Table List 6"/>
    <w:lsdException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uiPriority="99" w:name="Table Contemporary"/>
    <w:lsdException w:qFormat="1" w:uiPriority="99" w:name="Table Elegant"/>
    <w:lsdException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unhideWhenUsed="0" w:uiPriority="59" w:semiHidden="0" w:name="Table Grid"/>
    <w:lsdException w:uiPriority="99" w:name="Table Theme"/>
    <w:lsdException w:qFormat="1"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qFormat="1" w:unhideWhenUsed="0" w:uiPriority="63" w:semiHidden="0" w:name="Medium Shading 1"/>
    <w:lsdException w:qFormat="1" w:unhideWhenUsed="0" w:uiPriority="64" w:semiHidden="0" w:name="Medium Shading 2"/>
    <w:lsdException w:unhideWhenUsed="0" w:uiPriority="65" w:semiHidden="0" w:name="Medium List 1"/>
    <w:lsdException w:qFormat="1"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qFormat="1" w:unhideWhenUsed="0" w:uiPriority="67" w:semiHidden="0" w:name="Medium Grid 1 Accent 1"/>
    <w:lsdException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unhideWhenUsed="0" w:uiPriority="60" w:semiHidden="0" w:name="Light Shading Accent 2"/>
    <w:lsdException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unhideWhenUsed="0" w:uiPriority="64" w:semiHidden="0" w:name="Medium Shading 2 Accent 4"/>
    <w:lsdException w:qFormat="1" w:unhideWhenUsed="0" w:uiPriority="65" w:semiHidden="0" w:name="Medium List 1 Accent 4"/>
    <w:lsdException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unhideWhenUsed="0" w:uiPriority="67" w:semiHidden="0" w:name="Medium Grid 1 Accent 5"/>
    <w:lsdException w:unhideWhenUsed="0" w:uiPriority="68" w:semiHidden="0" w:name="Medium Grid 2 Accent 5"/>
    <w:lsdException w:qFormat="1" w:unhideWhenUsed="0" w:uiPriority="69" w:semiHidden="0" w:name="Medium Grid 3 Accent 5"/>
    <w:lsdException w:unhideWhenUsed="0" w:uiPriority="70" w:semiHidden="0" w:name="Dark List Accent 5"/>
    <w:lsdException w:unhideWhenUsed="0" w:uiPriority="71" w:semiHidden="0" w:name="Colorful Shading Accent 5"/>
    <w:lsdException w:qFormat="1"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08510-46DC-4884-800F-94F0397C5B19}">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335</Words>
  <Characters>1992</Characters>
  <Lines>18</Lines>
  <Paragraphs>5</Paragraphs>
  <TotalTime>0</TotalTime>
  <ScaleCrop>false</ScaleCrop>
  <LinksUpToDate>false</LinksUpToDate>
  <CharactersWithSpaces>2296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2025-05-20T08:54:00Z</dcterms:created>
  <dc:creator>mark louie medidas</dc:creator>
  <dc:description>LDIMD - DTU</dc:description>
  <cp:lastModifiedBy>fanxiaoxuan</cp:lastModifiedBy>
  <dcterms:modified xsi:type="dcterms:W3CDTF">2025-07-07T01:30:20Z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eyJoZGlkIjoiYzU2ZjVjM2FlNTE3OTRiNTQ3MzA3ZGI5YmExMTViYmEiLCJ1c2VySWQiOiI2NjE4MzI4NTIifQ==</vt:lpwstr>
  </property>
  <property fmtid="{D5CDD505-2E9C-101B-9397-08002B2CF9AE}" pid="6" name="KSOProductBuildVer">
    <vt:lpwstr>2052-12.1.0.21915</vt:lpwstr>
  </property>
  <property fmtid="{D5CDD505-2E9C-101B-9397-08002B2CF9AE}" pid="7" name="ICV">
    <vt:lpwstr>2CEC0375649D4F49A704EBF66593811A_12</vt:lpwstr>
  </property>
</Properties>
</file>