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6D66BCF2">
            <w:pPr>
              <w:spacing w:after="120"/>
            </w:pPr>
            <w:r>
              <w:t>Superintendencia de Electricidad y Combustibles (SEC)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</w:t>
            </w:r>
            <w:r>
              <w:rPr>
                <w:rFonts w:hint="eastAsia" w:eastAsia="宋体"/>
                <w:b/>
                <w:lang w:val="en-US" w:eastAsia="zh-CN"/>
              </w:rPr>
              <w:t xml:space="preserve"> </w:t>
            </w:r>
            <w:r>
              <w:rPr>
                <w:b/>
              </w:rPr>
              <w:t>], 2.10.1 [ ], 5.6.2 [X],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Estufas para gases licuados de petróleo (GLP), no conectada a un conducto de evacuación de los gases producto de la combustión, con calefactor y/o ventilador eléctrico incorporado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5AFFC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 Protocolo de Análisis y/o Ensayo de Seguridad de Producto de Combustibles PC Nº 94/1:2025; (3 página(s), en español)</w:t>
            </w: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22EA1D9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El presente protocolo establece el procedimiento de certificación para los artefactos de calefacción para gases licuados de petróleo, incluidos los artefactos de calefacción por combustión catalítica, móviles y fijos, no conectados a un conducto de evacuación, con turbo calefactor y/o ventilador eléctrico incorporado, cuyo consumo térmico no exceda los 4,2 kW (GLP) y cuya potencia eléctrica nominal sea igual o inferior a 2000 W, de acuerdo al alcance y campo de aplicación dispuesto en la norma UNE-EN 449:2003+A1:2007.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3F027071">
            <w:pPr>
              <w:spacing w:before="120" w:after="120"/>
            </w:pPr>
            <w:r>
              <w:t>UNE-EN 449:2003 + A1:2007 – Aparatos de calefacción domésticos no conectados a un conducto de evaluación (incluidos los aparatos de calefacción por combustión catalítica difusiva).</w:t>
            </w:r>
          </w:p>
          <w:p w14:paraId="5BA0754B">
            <w:pPr>
              <w:spacing w:before="120" w:after="120"/>
              <w:rPr>
                <w:lang w:val="en-GB"/>
              </w:rPr>
            </w:pPr>
            <w:r>
              <w:rPr>
                <w:lang w:val="en-GB"/>
              </w:rPr>
              <w:t>ANSI Z.83.6:1990 – Gas-fired Infrared Heaters.</w:t>
            </w:r>
          </w:p>
          <w:p w14:paraId="35C09AB5">
            <w:pPr>
              <w:spacing w:before="120" w:after="120"/>
            </w:pPr>
            <w:r>
              <w:t>IEC 60335-1 – Aparatos electrodomésticos y análogos. Seguridad. Parte 1: Requisitos generales.</w:t>
            </w:r>
          </w:p>
          <w:p w14:paraId="38FBF123">
            <w:pPr>
              <w:spacing w:before="120" w:after="120"/>
            </w:pPr>
            <w:r>
              <w:t>IEC 60335-2-30 – Seguridad de los aparatos electrodomésticos y análogos. Parte 2: Requisitos particulares para los aparatos de calefacción de locales.</w:t>
            </w:r>
          </w:p>
          <w:p w14:paraId="345EAE52">
            <w:pPr>
              <w:spacing w:before="120" w:after="120"/>
            </w:pPr>
            <w:r>
              <w:t>IEC 60335-2-80 – Seguridad de los aparatos electrodomésticos y análogos. Parte 2: Requisitos particulares para los ventiladores.</w:t>
            </w:r>
          </w:p>
          <w:p w14:paraId="2F525B21">
            <w:pPr>
              <w:spacing w:before="120" w:after="120"/>
            </w:pPr>
            <w:r>
              <w:t>Ley 18.410:1985 del Ministerio de Economía, Fomento y Reconstrucción.</w:t>
            </w:r>
          </w:p>
          <w:p w14:paraId="057EC494">
            <w:pPr>
              <w:spacing w:before="120" w:after="120"/>
            </w:pPr>
            <w:r>
              <w:t>Decreto Supremo N°298, del año 2005, del Ministerio de Economía, Fomento y Reconstrucción.</w:t>
            </w:r>
          </w:p>
          <w:p w14:paraId="64E0F4AE">
            <w:pPr>
              <w:numPr>
                <w:ilvl w:val="0"/>
                <w:numId w:val="0"/>
              </w:numPr>
              <w:spacing w:before="120" w:after="120"/>
            </w:pPr>
            <w:r>
              <w:t>Resolución Exenta N°0431, de fecha 23/08/2010, del Ministerio de Energía.</w:t>
            </w:r>
            <w:bookmarkStart w:id="10" w:name="_GoBack"/>
            <w:bookmarkEnd w:id="10"/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 de septiembre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3A911472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[X] 60 days from notification</w:t>
            </w: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65C39516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(a) In relation to Technical Regulations (Article 10.1):</w:t>
            </w:r>
          </w:p>
          <w:p w14:paraId="1B3B4BC7">
            <w:pPr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4CD6E284">
            <w:pPr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14:paraId="6ABCB7E5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Contact: TBT Sub-Department</w:t>
            </w:r>
          </w:p>
          <w:p w14:paraId="64E7B324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Bombero Salas 1345</w:t>
            </w:r>
          </w:p>
          <w:p w14:paraId="27D05BF3">
            <w:pPr>
              <w:rPr>
                <w:bCs/>
              </w:rPr>
            </w:pPr>
            <w:r>
              <w:rPr>
                <w:bCs/>
              </w:rPr>
              <w:t>Piso 11</w:t>
            </w:r>
          </w:p>
          <w:p w14:paraId="7F643405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422C8D3E">
            <w:pPr>
              <w:rPr>
                <w:bCs/>
              </w:rPr>
            </w:pPr>
            <w:r>
              <w:rPr>
                <w:bCs/>
              </w:rPr>
              <w:t>Tel: +(56 2) 2827 5250</w:t>
            </w:r>
          </w:p>
          <w:p w14:paraId="42334CE1">
            <w:pPr>
              <w:rPr>
                <w:bCs/>
              </w:rPr>
            </w:pPr>
            <w:r>
              <w:rPr>
                <w:bCs/>
              </w:rPr>
              <w:t>Fax: +(56 2) 380 9494</w:t>
            </w:r>
          </w:p>
          <w:p w14:paraId="451926E9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tbt_chile@subrei.gob.cl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0F683F2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(b) In relation to Standards (Article 10.3):</w:t>
            </w:r>
          </w:p>
          <w:p w14:paraId="3C30C9CF">
            <w:pPr>
              <w:rPr>
                <w:bCs/>
              </w:rPr>
            </w:pPr>
            <w:r>
              <w:rPr>
                <w:bCs/>
              </w:rPr>
              <w:t>Instituto Nacional de Normalización</w:t>
            </w:r>
          </w:p>
          <w:p w14:paraId="36BADD72">
            <w:pPr>
              <w:rPr>
                <w:bCs/>
              </w:rPr>
            </w:pPr>
            <w:r>
              <w:rPr>
                <w:bCs/>
              </w:rPr>
              <w:t>Alameda 1449 Torre 7 Piso 16</w:t>
            </w:r>
          </w:p>
          <w:p w14:paraId="39CE30B0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362E9459">
            <w:pPr>
              <w:rPr>
                <w:bCs/>
              </w:rPr>
            </w:pPr>
            <w:r>
              <w:rPr>
                <w:bCs/>
              </w:rPr>
              <w:t>Tel: +(56 2) 2445 8000</w:t>
            </w:r>
          </w:p>
          <w:p w14:paraId="33FDEDF4">
            <w:pPr>
              <w:rPr>
                <w:bCs/>
              </w:rPr>
            </w:pPr>
            <w:r>
              <w:rPr>
                <w:bCs/>
              </w:rPr>
              <w:t>Fax: +(56 2) 2441 0427</w:t>
            </w:r>
          </w:p>
          <w:p w14:paraId="224ADF78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info@inn.cl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2E58D24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</w:p>
          <w:p w14:paraId="077EAAD0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"https://members.wto.org/crnattachments/2025/TBT/CHL/25_04426_00_s.pdf"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https://members.wto.org/crnattachments/2025/TBT/CHL/25_04426_00_s.pdf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G/TBT/N/CHL/738</w:t>
    </w:r>
    <w:bookmarkEnd w:id="9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G/TBT/N/CHL/7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41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szCs w:val="18"/>
            </w:rPr>
            <w:t>4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4348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7834705"/>
    <w:rsid w:val="5B745CDF"/>
    <w:rsid w:val="6E3C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506</Words>
  <Characters>2811</Characters>
  <Lines>60</Lines>
  <Paragraphs>34</Paragraphs>
  <TotalTime>0</TotalTime>
  <ScaleCrop>false</ScaleCrop>
  <LinksUpToDate>false</LinksUpToDate>
  <CharactersWithSpaces>3262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2025-07-06T16:11:26Z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F22158BC5204467F99EF5020F4F8F8C4_12</vt:lpwstr>
  </property>
</Properties>
</file>