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1B284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4E3A69C3">
      <w:pPr>
        <w:jc w:val="center"/>
      </w:pPr>
      <w:r>
        <w:t>Se da traslado de la notificación siguiente de conformidad con el artículo 10.6.</w:t>
      </w:r>
    </w:p>
    <w:p w14:paraId="31F848C4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4E6095E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1D0C4266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7A5C098F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CHILE</w:t>
            </w:r>
          </w:p>
          <w:p w14:paraId="37E7B03B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5357909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A62DFC2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2EFB74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07F56FD8">
            <w:pPr>
              <w:spacing w:after="120"/>
            </w:pPr>
            <w:r>
              <w:t>Superintendencia de Electricidad y Combustibles</w:t>
            </w:r>
          </w:p>
          <w:p w14:paraId="4A1CF10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010F3B9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15355D6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510D02D">
            <w:pPr>
              <w:spacing w:before="120" w:after="120"/>
            </w:pPr>
            <w:r>
              <w:rPr>
                <w:b/>
              </w:rPr>
              <w:t>Notificación hecha en virtud del artículo 2.9.2 [</w:t>
            </w:r>
            <w:r>
              <w:rPr>
                <w:rFonts w:hint="eastAsia" w:eastAsia="宋体"/>
                <w:b/>
                <w:lang w:val="en-US" w:eastAsia="zh-CN"/>
              </w:rPr>
              <w:t xml:space="preserve"> </w:t>
            </w:r>
            <w:r>
              <w:rPr>
                <w:b/>
              </w:rPr>
              <w:t>], 2.10.1 [ ], 5.6.2 [X], 5.7.1 [ ], 3.2 [ ], 7.2 [ ], o en virtud de:</w:t>
            </w:r>
            <w:r>
              <w:t xml:space="preserve"> </w:t>
            </w:r>
          </w:p>
        </w:tc>
      </w:tr>
      <w:tr w14:paraId="68A3B48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6E099D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873AC3E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Artefactos decorativos para uso en exteriores que utilizan cilindros de GLP.</w:t>
            </w:r>
          </w:p>
        </w:tc>
      </w:tr>
      <w:tr w14:paraId="367F4C1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511EAB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D5AFFC1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 Protocolo de Análisis y/o Ensayo de Seguridad de Producto de Combustibles PC Nº65/2: 2025; (9 página(s), en español)</w:t>
            </w:r>
          </w:p>
        </w:tc>
      </w:tr>
      <w:tr w14:paraId="1DD0CB4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C97B3A0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C033D19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El presente protocolo establece el procedimiento de certificación para "Artefactos decorativos para uso en exteriores que utilizan cilindros de GLP", Tipo 5 y 11 kilos, de acuerdo con la norma ANSI Z21.97-2017.</w:t>
            </w:r>
          </w:p>
          <w:p w14:paraId="234BD21C">
            <w:pPr>
              <w:spacing w:before="120" w:after="120"/>
            </w:pPr>
            <w:r>
              <w:t>Aplica a:</w:t>
            </w:r>
          </w:p>
          <w:p w14:paraId="2EC8308C">
            <w:pPr>
              <w:numPr>
                <w:ilvl w:val="0"/>
                <w:numId w:val="7"/>
              </w:numPr>
              <w:spacing w:before="120" w:after="120"/>
            </w:pPr>
            <w:r>
              <w:t>Artefactos conectados a un sistema autónomo de GLP. El cilindro para un sistema autónomo puede estar separado del artefacto o montado integralmente en él y estar diseñados únicamente para la extracción de vapor.</w:t>
            </w:r>
          </w:p>
          <w:p w14:paraId="50FB436D">
            <w:pPr>
              <w:numPr>
                <w:ilvl w:val="0"/>
                <w:numId w:val="7"/>
              </w:numPr>
              <w:spacing w:before="120" w:after="120"/>
            </w:pPr>
            <w:r>
              <w:t>Artefactos con una potencia inferior o igual a 17.584 W.</w:t>
            </w:r>
          </w:p>
          <w:p w14:paraId="52567AE6">
            <w:pPr>
              <w:numPr>
                <w:ilvl w:val="0"/>
                <w:numId w:val="7"/>
              </w:numPr>
              <w:spacing w:before="120" w:after="120"/>
            </w:pPr>
            <w:r>
              <w:t>Artefactos con una potencia mayor o igual a 6.000 W.</w:t>
            </w:r>
          </w:p>
          <w:p w14:paraId="5AB59C46">
            <w:pPr>
              <w:spacing w:before="120" w:after="120"/>
            </w:pPr>
            <w:r>
              <w:t>No Aplica a:</w:t>
            </w:r>
          </w:p>
          <w:p w14:paraId="043917A7">
            <w:pPr>
              <w:numPr>
                <w:ilvl w:val="0"/>
                <w:numId w:val="8"/>
              </w:numPr>
              <w:spacing w:before="120" w:after="120"/>
            </w:pPr>
            <w:r>
              <w:t>Artefactos conectados a un sistema fijo de tuberías de combustibles.</w:t>
            </w:r>
          </w:p>
          <w:p w14:paraId="1D4D1C90">
            <w:pPr>
              <w:numPr>
                <w:ilvl w:val="0"/>
                <w:numId w:val="8"/>
              </w:numPr>
              <w:spacing w:before="120" w:after="120"/>
            </w:pPr>
            <w:r>
              <w:t>Artefactos empotrados.</w:t>
            </w:r>
          </w:p>
          <w:p w14:paraId="324D9150">
            <w:pPr>
              <w:numPr>
                <w:ilvl w:val="0"/>
                <w:numId w:val="8"/>
              </w:numPr>
              <w:spacing w:before="120" w:after="120"/>
            </w:pPr>
            <w:r>
              <w:t>Artefactos con control termostático.</w:t>
            </w:r>
          </w:p>
          <w:p w14:paraId="64CC6B19">
            <w:pPr>
              <w:numPr>
                <w:ilvl w:val="0"/>
                <w:numId w:val="8"/>
              </w:numPr>
              <w:spacing w:before="120" w:after="120"/>
            </w:pPr>
            <w:r>
              <w:t xml:space="preserve">Cláusula siete de la norma </w:t>
            </w:r>
            <w:r>
              <w:rPr>
                <w:b/>
                <w:bCs/>
              </w:rPr>
              <w:t>ANSI Z21.97-2017.</w:t>
            </w:r>
          </w:p>
          <w:p w14:paraId="622EA1D9">
            <w:pPr>
              <w:spacing w:before="120" w:after="120"/>
            </w:pPr>
            <w:r>
              <w:t xml:space="preserve">Clausula ocho de la norma </w:t>
            </w:r>
            <w:r>
              <w:rPr>
                <w:b/>
                <w:bCs/>
              </w:rPr>
              <w:t>ANSI Z21.97-2017.</w:t>
            </w:r>
          </w:p>
        </w:tc>
      </w:tr>
      <w:tr w14:paraId="7019366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136B16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001457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Protección de la salud o seguridad humanas</w:t>
            </w:r>
          </w:p>
        </w:tc>
      </w:tr>
      <w:tr w14:paraId="5BCBBB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249F84C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AC74976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3626819F">
            <w:pPr>
              <w:spacing w:before="120" w:after="120"/>
            </w:pPr>
            <w:r>
              <w:t>ANSI Z21.97-2017.</w:t>
            </w:r>
          </w:p>
          <w:p w14:paraId="7E47831B">
            <w:pPr>
              <w:spacing w:before="120" w:after="120"/>
            </w:pPr>
            <w:r>
              <w:t>Ley 18.410:1985 del Ministerio de Economía, Fomento y Reconstrucción.</w:t>
            </w:r>
          </w:p>
          <w:p w14:paraId="187D948D">
            <w:pPr>
              <w:spacing w:before="120" w:after="120"/>
            </w:pPr>
            <w:r>
              <w:t>Decreto Supremo N°298, del año 2005, del Ministerio de Economía, Fomento y Reconstrucción.</w:t>
            </w:r>
          </w:p>
          <w:p w14:paraId="74D7EE62">
            <w:pPr>
              <w:numPr>
                <w:ilvl w:val="0"/>
                <w:numId w:val="0"/>
              </w:numPr>
              <w:spacing w:before="120" w:after="120"/>
            </w:pPr>
            <w:r>
              <w:t>Resolución Exenta N°0431, de fecha 23/08/2010, del Ministerio de Energía.</w:t>
            </w:r>
          </w:p>
        </w:tc>
      </w:tr>
      <w:tr w14:paraId="00B83A6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1E6B3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8197A1">
            <w:pPr>
              <w:spacing w:before="120" w:after="120"/>
              <w:rPr>
                <w:rFonts w:hint="eastAsia" w:eastAsia="宋体"/>
                <w:bCs/>
                <w:lang w:eastAsia="zh-CN"/>
              </w:rPr>
            </w:pPr>
            <w:r>
              <w:rPr>
                <w:b/>
              </w:rPr>
              <w:t>Fecha propuesta de adopción: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-</w:t>
            </w:r>
          </w:p>
          <w:p w14:paraId="58A30308">
            <w:pPr>
              <w:spacing w:after="120"/>
              <w:rPr>
                <w:rFonts w:hint="eastAsia" w:eastAsia="宋体"/>
                <w:b/>
                <w:lang w:eastAsia="zh-CN"/>
              </w:rPr>
            </w:pPr>
            <w:r>
              <w:rPr>
                <w:b/>
              </w:rPr>
              <w:t>Fecha propuesta de entrada en vigor: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-</w:t>
            </w:r>
          </w:p>
        </w:tc>
      </w:tr>
      <w:tr w14:paraId="0426CF0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6A44101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65E8BD2">
            <w:pPr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2 de septiembre de 2025</w:t>
            </w:r>
            <w:r>
              <w:rPr>
                <w:rFonts w:hint="eastAsia" w:eastAsia="宋体"/>
                <w:lang w:eastAsia="zh-CN"/>
              </w:rPr>
              <w:t>，</w:t>
            </w:r>
          </w:p>
          <w:p w14:paraId="3A911472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[X] 60 days from notification</w:t>
            </w:r>
          </w:p>
        </w:tc>
      </w:tr>
      <w:tr w14:paraId="511E7B2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5FE13448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5D9F87D8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[X],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65C39516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(a) In relation to Technical Regulations (Article 10.1):</w:t>
            </w:r>
          </w:p>
          <w:p w14:paraId="1B3B4BC7">
            <w:pPr>
              <w:rPr>
                <w:bCs/>
              </w:rPr>
            </w:pPr>
            <w:r>
              <w:rPr>
                <w:bCs/>
              </w:rPr>
              <w:t>Ministerio de Relaciones Exteriores</w:t>
            </w:r>
          </w:p>
          <w:p w14:paraId="4CD6E284">
            <w:pPr>
              <w:rPr>
                <w:bCs/>
              </w:rPr>
            </w:pPr>
            <w:r>
              <w:rPr>
                <w:bCs/>
              </w:rPr>
              <w:t>Subsecretaría de Relaciones Económicas Internacionales (SUBREI)</w:t>
            </w:r>
          </w:p>
          <w:p w14:paraId="6ABCB7E5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Contact: TBT Sub-Department</w:t>
            </w:r>
          </w:p>
          <w:p w14:paraId="64E7B324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Bombero Salas 1345</w:t>
            </w:r>
          </w:p>
          <w:p w14:paraId="27D05BF3">
            <w:pPr>
              <w:rPr>
                <w:bCs/>
              </w:rPr>
            </w:pPr>
            <w:r>
              <w:rPr>
                <w:bCs/>
              </w:rPr>
              <w:t>Piso 11</w:t>
            </w:r>
          </w:p>
          <w:p w14:paraId="7F643405">
            <w:pPr>
              <w:rPr>
                <w:bCs/>
              </w:rPr>
            </w:pPr>
            <w:r>
              <w:rPr>
                <w:bCs/>
              </w:rPr>
              <w:t>Santiago</w:t>
            </w:r>
          </w:p>
          <w:p w14:paraId="422C8D3E">
            <w:pPr>
              <w:rPr>
                <w:bCs/>
              </w:rPr>
            </w:pPr>
            <w:r>
              <w:rPr>
                <w:bCs/>
              </w:rPr>
              <w:t>Tel: +(56 2) 2827 5250</w:t>
            </w:r>
          </w:p>
          <w:p w14:paraId="42334CE1">
            <w:pPr>
              <w:rPr>
                <w:bCs/>
              </w:rPr>
            </w:pPr>
            <w:r>
              <w:rPr>
                <w:bCs/>
              </w:rPr>
              <w:t>Fax: +(56 2) 380 9494</w:t>
            </w:r>
          </w:p>
          <w:p w14:paraId="451926E9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"mailto:tbt_chile@subrei.gob.cl"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tbt_chile@subrei.gob.cl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70F683F2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(b) In relation to Standards (Article 10.3):</w:t>
            </w:r>
          </w:p>
          <w:p w14:paraId="3C30C9CF">
            <w:pPr>
              <w:rPr>
                <w:bCs/>
              </w:rPr>
            </w:pPr>
            <w:r>
              <w:rPr>
                <w:bCs/>
              </w:rPr>
              <w:t>Instituto Nacional de Normalización</w:t>
            </w:r>
          </w:p>
          <w:p w14:paraId="36BADD72">
            <w:pPr>
              <w:rPr>
                <w:bCs/>
              </w:rPr>
            </w:pPr>
            <w:r>
              <w:rPr>
                <w:bCs/>
              </w:rPr>
              <w:t>Alameda 1449 Torre 7 Piso 16</w:t>
            </w:r>
          </w:p>
          <w:p w14:paraId="39CE30B0">
            <w:pPr>
              <w:rPr>
                <w:bCs/>
              </w:rPr>
            </w:pPr>
            <w:r>
              <w:rPr>
                <w:bCs/>
              </w:rPr>
              <w:t>Santiago</w:t>
            </w:r>
          </w:p>
          <w:p w14:paraId="362E9459">
            <w:pPr>
              <w:rPr>
                <w:bCs/>
              </w:rPr>
            </w:pPr>
            <w:r>
              <w:rPr>
                <w:bCs/>
              </w:rPr>
              <w:t>Tel: +(56 2) 2445 8000</w:t>
            </w:r>
          </w:p>
          <w:p w14:paraId="33FDEDF4">
            <w:pPr>
              <w:rPr>
                <w:bCs/>
              </w:rPr>
            </w:pPr>
            <w:r>
              <w:rPr>
                <w:bCs/>
              </w:rPr>
              <w:t>Fax: +(56 2) 2441 0427</w:t>
            </w:r>
          </w:p>
          <w:p w14:paraId="224ADF78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bCs/>
                <w:color w:val="0000FF"/>
                <w:u w:val="single"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"mailto:info@inn.cl"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info@inn.cl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72E58D24">
            <w:pPr>
              <w:keepNext/>
              <w:keepLines/>
              <w:pBdr>
                <w:top w:val="none" w:color="auto" w:sz="0" w:space="4"/>
              </w:pBdr>
              <w:spacing w:after="120"/>
              <w:rPr>
                <w:bCs/>
                <w:color w:val="0000FF"/>
                <w:u w:val="single"/>
              </w:rPr>
            </w:pPr>
            <w:bookmarkStart w:id="10" w:name="_GoBack"/>
            <w:bookmarkEnd w:id="10"/>
          </w:p>
          <w:p w14:paraId="077EAAD0">
            <w:pPr>
              <w:keepNext/>
              <w:keepLines/>
              <w:pBdr>
                <w:top w:val="none" w:color="auto" w:sz="0" w:space="4"/>
              </w:pBdr>
              <w:spacing w:after="120"/>
            </w:pPr>
            <w:r>
              <w:fldChar w:fldCharType="begin"/>
            </w:r>
            <w:r>
              <w:instrText xml:space="preserve"> HYPERLINK "https://members.wto.org/crnattachments/2025/TBT/CHL/25_04425_00_s.pdf"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https://members.wto.org/crnattachments/2025/TBT/CHL/25_04425_00_s.pdf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</w:tbl>
    <w:p w14:paraId="19684025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E1553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F9F1B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B94452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B9376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9" w:name="spsSymbolHeader"/>
    <w:r>
      <w:t>G/TBT/N/CHL/738</w:t>
    </w:r>
    <w:bookmarkEnd w:id="9"/>
  </w:p>
  <w:p w14:paraId="678F664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3536EF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32D3A90E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4900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B26AFB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462EEE0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116F069F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6D650BEA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F96B152">
          <w:pPr>
            <w:rPr>
              <w:szCs w:val="18"/>
              <w:lang w:eastAsia="en-GB"/>
            </w:rPr>
          </w:pPr>
          <w:bookmarkStart w:id="0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1D7D85">
          <w:pPr>
            <w:jc w:val="right"/>
            <w:rPr>
              <w:b/>
              <w:color w:val="FF0000"/>
              <w:szCs w:val="18"/>
            </w:rPr>
          </w:pPr>
        </w:p>
      </w:tc>
    </w:tr>
    <w:bookmarkEnd w:id="0"/>
    <w:tr w14:paraId="04619C7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5886FD7A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DB719B2">
          <w:pPr>
            <w:jc w:val="right"/>
            <w:rPr>
              <w:b/>
              <w:szCs w:val="18"/>
            </w:rPr>
          </w:pPr>
        </w:p>
      </w:tc>
    </w:tr>
    <w:tr w14:paraId="0FC51FC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FBCD3DB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7A1842BC">
          <w:pPr>
            <w:jc w:val="right"/>
            <w:rPr>
              <w:rFonts w:hint="default" w:eastAsia="宋体"/>
              <w:b/>
              <w:szCs w:val="18"/>
              <w:lang w:val="en-US" w:eastAsia="zh-CN"/>
            </w:rPr>
          </w:pPr>
          <w:bookmarkStart w:id="1" w:name="bmkSymbols"/>
          <w:r>
            <w:rPr>
              <w:b/>
              <w:szCs w:val="18"/>
            </w:rPr>
            <w:t>G/TBT/N/CHL/7</w:t>
          </w:r>
          <w:bookmarkEnd w:id="1"/>
          <w:r>
            <w:rPr>
              <w:rFonts w:hint="eastAsia" w:eastAsia="宋体"/>
              <w:b/>
              <w:szCs w:val="18"/>
              <w:lang w:val="en-US" w:eastAsia="zh-CN"/>
            </w:rPr>
            <w:t>40</w:t>
          </w:r>
        </w:p>
      </w:tc>
    </w:tr>
    <w:tr w14:paraId="2C0D33BE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86019E4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9CDED16">
          <w:pPr>
            <w:jc w:val="right"/>
            <w:rPr>
              <w:szCs w:val="18"/>
            </w:rPr>
          </w:pPr>
          <w:bookmarkStart w:id="2" w:name="spsDateDistribution"/>
          <w:bookmarkStart w:id="3" w:name="bmkDate"/>
          <w:r>
            <w:rPr>
              <w:szCs w:val="18"/>
            </w:rPr>
            <w:t>4 de julio de 2025</w:t>
          </w:r>
          <w:bookmarkEnd w:id="2"/>
          <w:bookmarkEnd w:id="3"/>
        </w:p>
      </w:tc>
    </w:tr>
    <w:tr w14:paraId="68F67FC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186D632">
          <w:pPr>
            <w:jc w:val="left"/>
            <w:rPr>
              <w:b/>
              <w:szCs w:val="18"/>
            </w:rPr>
          </w:pPr>
          <w:bookmarkStart w:id="4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4352</w:t>
          </w:r>
          <w:r>
            <w:rPr>
              <w:b w:val="0"/>
              <w:color w:val="FF0000"/>
            </w:rPr>
            <w:t>)</w:t>
          </w:r>
          <w:bookmarkEnd w:id="4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CD3EB4A">
          <w:pPr>
            <w:jc w:val="right"/>
            <w:rPr>
              <w:szCs w:val="18"/>
            </w:rPr>
          </w:pPr>
          <w:bookmarkStart w:id="5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2</w:t>
          </w:r>
          <w:r>
            <w:rPr>
              <w:szCs w:val="18"/>
            </w:rPr>
            <w:fldChar w:fldCharType="end"/>
          </w:r>
          <w:bookmarkEnd w:id="5"/>
        </w:p>
      </w:tc>
    </w:tr>
    <w:tr w14:paraId="74D5242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8FCAFB">
          <w:pPr>
            <w:jc w:val="left"/>
            <w:rPr>
              <w:szCs w:val="18"/>
            </w:rPr>
          </w:pPr>
          <w:bookmarkStart w:id="6" w:name="bmkCommittee"/>
          <w:r>
            <w:rPr>
              <w:b/>
              <w:szCs w:val="18"/>
            </w:rPr>
            <w:t>Comité de Obstáculos Técnicos al Comercio</w:t>
          </w:r>
          <w:bookmarkEnd w:id="6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E6ADE0B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 xml:space="preserve">Original: </w:t>
          </w:r>
          <w:bookmarkStart w:id="8" w:name="spsOriginalLanguage"/>
          <w:r>
            <w:rPr>
              <w:bCs/>
              <w:szCs w:val="18"/>
            </w:rPr>
            <w:t>español</w:t>
          </w:r>
          <w:bookmarkEnd w:id="7"/>
          <w:bookmarkEnd w:id="8"/>
        </w:p>
      </w:tc>
    </w:tr>
  </w:tbl>
  <w:p w14:paraId="2FDA17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D526BB"/>
    <w:multiLevelType w:val="multilevel"/>
    <w:tmpl w:val="63D526BB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7">
    <w:nsid w:val="63D526BC"/>
    <w:multiLevelType w:val="multilevel"/>
    <w:tmpl w:val="63D526BC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movePersonalInformation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3682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83277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26FF0"/>
    <w:rsid w:val="00A37C79"/>
    <w:rsid w:val="00A42A6A"/>
    <w:rsid w:val="00A46611"/>
    <w:rsid w:val="00A52F73"/>
    <w:rsid w:val="00A5462B"/>
    <w:rsid w:val="00A60556"/>
    <w:rsid w:val="00A627A8"/>
    <w:rsid w:val="00A634E9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32C0D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58AC"/>
    <w:rsid w:val="00EB7769"/>
    <w:rsid w:val="00ED3396"/>
    <w:rsid w:val="00EE50B7"/>
    <w:rsid w:val="00EF045A"/>
    <w:rsid w:val="00EF756F"/>
    <w:rsid w:val="00F009AC"/>
    <w:rsid w:val="00F11625"/>
    <w:rsid w:val="00F325A3"/>
    <w:rsid w:val="00F35602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27834705"/>
    <w:rsid w:val="5B74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qFormat="1" w:uiPriority="99" w:name="envelope address"/>
    <w:lsdException w:qFormat="1"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qFormat="1"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qFormat="1" w:uiPriority="49" w:name="List Number 5"/>
    <w:lsdException w:qFormat="1" w:unhideWhenUsed="0" w:uiPriority="5" w:semiHidden="0" w:name="Title"/>
    <w:lsdException w:qFormat="1" w:uiPriority="99" w:name="Closing"/>
    <w:lsdException w:qFormat="1"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unhideWhenUsed="0" w:uiPriority="65" w:semiHidden="0" w:name="Medium List 1 Accent 3"/>
    <w:lsdException w:qFormat="1" w:unhideWhenUsed="0" w:uiPriority="66" w:semiHidden="0" w:name="Medium List 2 Accent 3"/>
    <w:lsdException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qFormat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qFormat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qFormat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qFormat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qFormat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qFormat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qFormat/>
    <w:uiPriority w:val="99"/>
    <w:rPr>
      <w:lang w:val="es-ES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qFormat/>
    <w:uiPriority w:val="99"/>
    <w:rPr>
      <w:i/>
      <w:iCs/>
      <w:lang w:val="es-ES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qFormat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basedOn w:val="231"/>
    <w:unhideWhenUsed/>
    <w:qFormat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qFormat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qFormat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qFormat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qFormat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qFormat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qFormat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f7bacae2-dd7c-44b8-815b-5b629b99031c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06C9BC7B-C144-4490-AB7D-119CC54B48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591</Words>
  <Characters>3559</Characters>
  <Lines>60</Lines>
  <Paragraphs>34</Paragraphs>
  <TotalTime>0</TotalTime>
  <ScaleCrop>false</ScaleCrop>
  <LinksUpToDate>false</LinksUpToDate>
  <CharactersWithSpaces>4103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2025-06-17T12:22:00Z</dcterms:created>
  <dc:description>LDIMD - DTU</dc:description>
  <dcterms:modified xsi:type="dcterms:W3CDTF">2025-07-06T16:07:51Z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WTO OFFICIAL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2052-12.1.0.21915</vt:lpwstr>
  </property>
  <property fmtid="{D5CDD505-2E9C-101B-9397-08002B2CF9AE}" pid="7" name="ICV">
    <vt:lpwstr>F22158BC5204467F99EF5020F4F8F8C4_12</vt:lpwstr>
  </property>
</Properties>
</file>