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CAFD9">
      <w:pPr>
        <w:pStyle w:val="84"/>
        <w:rPr>
          <w:caps w:val="0"/>
          <w:kern w:val="0"/>
        </w:rPr>
      </w:pPr>
      <w:r>
        <w:rPr>
          <w:caps w:val="0"/>
          <w:kern w:val="0"/>
        </w:rPr>
        <w:t>NOTIFICATION</w:t>
      </w:r>
    </w:p>
    <w:p w14:paraId="5E52F45E">
      <w:pPr>
        <w:jc w:val="center"/>
      </w:pPr>
      <w:r>
        <w:t>The following notification is being circulated in accordance with Article 10.6</w:t>
      </w:r>
    </w:p>
    <w:p w14:paraId="2F75A080"/>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6E969D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E9B2CFC">
            <w:pPr>
              <w:spacing w:before="120" w:after="120"/>
              <w:jc w:val="left"/>
            </w:pPr>
            <w:r>
              <w:rPr>
                <w:b/>
              </w:rPr>
              <w:t>1.</w:t>
            </w:r>
          </w:p>
        </w:tc>
        <w:tc>
          <w:tcPr>
            <w:tcW w:w="8546" w:type="dxa"/>
            <w:tcBorders>
              <w:bottom w:val="single" w:color="auto" w:sz="6" w:space="0"/>
            </w:tcBorders>
            <w:shd w:val="clear" w:color="auto" w:fill="auto"/>
          </w:tcPr>
          <w:p w14:paraId="32199B43">
            <w:pPr>
              <w:spacing w:before="120" w:after="120"/>
            </w:pPr>
            <w:r>
              <w:rPr>
                <w:b/>
              </w:rPr>
              <w:t>Notifying Member:</w:t>
            </w:r>
            <w:r>
              <w:t xml:space="preserve"> </w:t>
            </w:r>
            <w:r>
              <w:rPr>
                <w:u w:val="single"/>
              </w:rPr>
              <w:t>CANADA</w:t>
            </w:r>
          </w:p>
          <w:p w14:paraId="1B661968">
            <w:pPr>
              <w:spacing w:after="120"/>
            </w:pPr>
            <w:r>
              <w:rPr>
                <w:b/>
              </w:rPr>
              <w:t>If applicable, name of local government involved (Article 3.2 and 7.2):</w:t>
            </w:r>
            <w:r>
              <w:t xml:space="preserve"> </w:t>
            </w:r>
          </w:p>
        </w:tc>
      </w:tr>
      <w:tr w14:paraId="14567DE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8F679B">
            <w:pPr>
              <w:spacing w:before="120" w:after="120"/>
              <w:jc w:val="left"/>
            </w:pPr>
            <w:r>
              <w:rPr>
                <w:b/>
              </w:rPr>
              <w:t>2.</w:t>
            </w:r>
          </w:p>
        </w:tc>
        <w:tc>
          <w:tcPr>
            <w:tcW w:w="8546" w:type="dxa"/>
            <w:tcBorders>
              <w:top w:val="single" w:color="auto" w:sz="6" w:space="0"/>
              <w:bottom w:val="single" w:color="auto" w:sz="6" w:space="0"/>
            </w:tcBorders>
            <w:shd w:val="clear" w:color="auto" w:fill="auto"/>
          </w:tcPr>
          <w:p w14:paraId="1F8665C0">
            <w:pPr>
              <w:spacing w:before="120" w:after="120"/>
            </w:pPr>
            <w:r>
              <w:rPr>
                <w:b/>
              </w:rPr>
              <w:t>Agency responsible:</w:t>
            </w:r>
            <w:r>
              <w:t xml:space="preserve"> </w:t>
            </w:r>
          </w:p>
          <w:p w14:paraId="0D9DE209">
            <w:pPr>
              <w:spacing w:after="120"/>
            </w:pPr>
            <w:r>
              <w:t>Department of Health</w:t>
            </w:r>
          </w:p>
          <w:p w14:paraId="383996AF">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6556D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52A02CE">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7BA6F87">
            <w:pPr>
              <w:spacing w:before="120" w:after="120"/>
            </w:pPr>
            <w:r>
              <w:rPr>
                <w:b/>
              </w:rPr>
              <w:t>Notified under Article 2.9.2 [X], 2.10.1 [ ], 5.6.2 [], 5.7.1 [ ], 3.2 [ ], 7.2 [ ], other:</w:t>
            </w:r>
            <w:r>
              <w:t xml:space="preserve"> </w:t>
            </w:r>
          </w:p>
        </w:tc>
      </w:tr>
      <w:tr w14:paraId="016C337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667F04D">
            <w:pPr>
              <w:spacing w:before="120" w:after="120"/>
              <w:jc w:val="left"/>
            </w:pPr>
            <w:r>
              <w:rPr>
                <w:b/>
              </w:rPr>
              <w:t>4.</w:t>
            </w:r>
          </w:p>
        </w:tc>
        <w:tc>
          <w:tcPr>
            <w:tcW w:w="8546" w:type="dxa"/>
            <w:tcBorders>
              <w:top w:val="single" w:color="auto" w:sz="6" w:space="0"/>
              <w:bottom w:val="single" w:color="auto" w:sz="6" w:space="0"/>
            </w:tcBorders>
            <w:shd w:val="clear" w:color="auto" w:fill="auto"/>
          </w:tcPr>
          <w:p w14:paraId="7C7A7876">
            <w:pPr>
              <w:spacing w:before="120" w:after="120"/>
            </w:pPr>
            <w:r>
              <w:rPr>
                <w:b/>
              </w:rPr>
              <w:t>Products covered (HS or CCCN where applicable, otherwise national tariff heading. ICS numbers may be provided in addition, where applicable):</w:t>
            </w:r>
            <w:r>
              <w:t xml:space="preserve"> Precursor chemicals and certain equipment (i.e. pill presses and encapsulators) that are controlled in Canada because they can be used in illegal drug production</w:t>
            </w:r>
          </w:p>
        </w:tc>
      </w:tr>
      <w:tr w14:paraId="6ED30F3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FE312C">
            <w:pPr>
              <w:spacing w:before="120" w:after="120"/>
              <w:jc w:val="left"/>
            </w:pPr>
            <w:r>
              <w:rPr>
                <w:b/>
              </w:rPr>
              <w:t>5.</w:t>
            </w:r>
          </w:p>
        </w:tc>
        <w:tc>
          <w:tcPr>
            <w:tcW w:w="8546" w:type="dxa"/>
            <w:tcBorders>
              <w:top w:val="single" w:color="auto" w:sz="6" w:space="0"/>
              <w:bottom w:val="single" w:color="auto" w:sz="6" w:space="0"/>
            </w:tcBorders>
            <w:shd w:val="clear" w:color="auto" w:fill="auto"/>
          </w:tcPr>
          <w:p w14:paraId="31F3A3D4">
            <w:pPr>
              <w:spacing w:before="120" w:after="120"/>
            </w:pPr>
            <w:r>
              <w:rPr>
                <w:b/>
              </w:rPr>
              <w:t>Title, number of pages and language(s) of the notified document:</w:t>
            </w:r>
            <w:r>
              <w:t xml:space="preserve"> Regulations Amending the Precursor Control Regulations (Increased Regulatory Oversight) (19 pages, in English and French)</w:t>
            </w:r>
          </w:p>
          <w:p w14:paraId="38FE290C">
            <w:pPr>
              <w:spacing w:before="120" w:after="120"/>
            </w:pPr>
            <w:r>
              <w:t>Order Amending Schedule IX to the Controlled Drugs and Substances Act (2 pages, in English and French)</w:t>
            </w:r>
          </w:p>
        </w:tc>
      </w:tr>
      <w:tr w14:paraId="0D6E753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1FBB41B">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50133F41">
            <w:pPr>
              <w:spacing w:before="120" w:after="120"/>
            </w:pPr>
            <w:r>
              <w:rPr>
                <w:b/>
              </w:rPr>
              <w:t>Description of content:</w:t>
            </w:r>
            <w:r>
              <w:t xml:space="preserve"> The purpose of this notification is to let members know that on June 28, 2025, Canada published a regulatory proposal for public comment that would increase oversight of precursor chemicals and designated devices under the </w:t>
            </w:r>
            <w:r>
              <w:rPr>
                <w:i/>
                <w:iCs/>
              </w:rPr>
              <w:t>Controlled Drugs and Substances Act</w:t>
            </w:r>
            <w:r>
              <w:t xml:space="preserve"> and also increase Health Canada's regulatory flexibility and agility.</w:t>
            </w:r>
          </w:p>
        </w:tc>
      </w:tr>
      <w:tr w14:paraId="5FBE51A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934EDD">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3D99B46">
            <w:pPr>
              <w:spacing w:before="120" w:after="120"/>
              <w:rPr>
                <w:b/>
              </w:rPr>
            </w:pPr>
            <w:r>
              <w:rPr>
                <w:b/>
              </w:rPr>
              <w:t>Objective and rationale, including the nature of urgent problems where applicable:</w:t>
            </w:r>
            <w:r>
              <w:t xml:space="preserve"> The overdose crisis remains a significant and complex public health and public safety issue in Canada that impacts individuals, families and communities. Most of the overdose deaths in Canada involve illegally produced fentanyl. Canadian law enforcement agencies have noticed an increase in the domestic production of illegal fentanyl and fentanyl analogues in clandestine laboratories by organized crime groups as well as the illegal importation and diversion of chemical ingredients (precursors) and drug manufacturing equipment (designated devices) used to support said production. In response, Canadian law and border enforcement agencies have targeted precursors and designated devices entering Canada. To support these efforts, the Government of Canada is proposing targeted amendments to the </w:t>
            </w:r>
            <w:r>
              <w:rPr>
                <w:i/>
                <w:iCs/>
              </w:rPr>
              <w:t>Precursor Control Regulations</w:t>
            </w:r>
            <w:r>
              <w:t xml:space="preserve"> (PCR) and Schedule IX to the </w:t>
            </w:r>
            <w:r>
              <w:rPr>
                <w:i/>
                <w:iCs/>
              </w:rPr>
              <w:t>Controlled Drugs and Substances Act</w:t>
            </w:r>
            <w:r>
              <w:t xml:space="preserve"> (CDSA) that would increase regulatory oversight of precursors and designated devices.</w:t>
            </w:r>
          </w:p>
          <w:p w14:paraId="0EB45643">
            <w:pPr>
              <w:spacing w:before="120" w:after="120"/>
              <w:rPr>
                <w:b/>
              </w:rPr>
            </w:pPr>
            <w:r>
              <w:t>Overall, the proposed amendments are not expected to impose unnecessary barriers to trade but members may wish to consider Canada's proposal to expand import registration requirements for designated devices. Under the CDSA, it is prohibited to import a designated device (i.e. pill presses, encapsulators) into Canada without first registering the importation with the federal Ministry of Health (Health Canada). The proposed regulatory changes would expand registration requirements for designated devices to include certain component parts (i.e. punches, moulds and dies) suitable for use in a designated device. As is currently the case, importers would be required to provide proof of the import registration at the time of importation.</w:t>
            </w:r>
          </w:p>
        </w:tc>
      </w:tr>
      <w:tr w14:paraId="5A195CB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3500FB9">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177F6AF">
            <w:pPr>
              <w:spacing w:before="120" w:after="120"/>
              <w:rPr>
                <w:bCs/>
              </w:rPr>
            </w:pPr>
            <w:r>
              <w:rPr>
                <w:b/>
              </w:rPr>
              <w:t>Relevant documents:</w:t>
            </w:r>
            <w:r>
              <w:t xml:space="preserve"> </w:t>
            </w:r>
          </w:p>
          <w:p w14:paraId="7CC8B75A">
            <w:pPr>
              <w:spacing w:before="120" w:after="120"/>
            </w:pPr>
            <w:r>
              <w:rPr>
                <w:i/>
                <w:iCs/>
              </w:rPr>
              <w:t>Notice of intent: Proposal to amend the regulations for precursors and designated devices under the Controlled Drugs and Substances Act:</w:t>
            </w:r>
          </w:p>
          <w:p w14:paraId="3B2EF4E7">
            <w:pPr>
              <w:spacing w:before="120" w:after="120"/>
            </w:pPr>
            <w:r>
              <w:fldChar w:fldCharType="begin"/>
            </w:r>
            <w:r>
              <w:instrText xml:space="preserve"> HYPERLINK "https://gazette.gc.ca/rp-pr/p1/2025/2025-02-01/html/notice-avis-eng.html" \l "ne7" </w:instrText>
            </w:r>
            <w:r>
              <w:fldChar w:fldCharType="separate"/>
            </w:r>
            <w:r>
              <w:rPr>
                <w:color w:val="0000FF"/>
                <w:u w:val="single"/>
              </w:rPr>
              <w:t>Canada Gazette, Part I, Volume 159, Number 5</w:t>
            </w:r>
            <w:r>
              <w:rPr>
                <w:color w:val="0000FF"/>
                <w:u w:val="single"/>
              </w:rPr>
              <w:fldChar w:fldCharType="end"/>
            </w:r>
            <w:r>
              <w:t xml:space="preserve"> (available in English and French)</w:t>
            </w:r>
          </w:p>
          <w:p w14:paraId="1376097A">
            <w:pPr>
              <w:spacing w:before="120" w:after="120"/>
            </w:pPr>
            <w:r>
              <w:fldChar w:fldCharType="begin"/>
            </w:r>
            <w:r>
              <w:instrText xml:space="preserve"> HYPERLINK "https://can01.safelinks.protection.outlook.com/?url=https%3A%2F%2Fgazette.gc.ca%2Frp-pr%2Fp1%2F2025%2F2025-06-28%2Fhtml%2Freg2-eng.html&amp;data=05%7C02%7CDanielle.MacDonald%40hc-sc.gc.ca%7C567c202a8b964cc25a9808ddb59e617c%7C42fd9015de4d4223a368baeacab48927%7C0%7C0%7C638866414037638692%7CUnknown%7CTWFpbGZsb3d8eyJFbXB0eU1hcGkiOnRydWUsIlYiOiIwLjAuMDAwMCIsIlAiOiJXaW4zMiIsIkFOIjoiTWFpbCIsIldUIjoyfQ%3D%3D%7C0%7C%7C%7C&amp;sdata=8aJXsSnWnfpacxn5EK6ik4sZNbuhu6g3jx75BEOxjnc%3D&amp;reserved=0" </w:instrText>
            </w:r>
            <w:r>
              <w:fldChar w:fldCharType="separate"/>
            </w:r>
            <w:r>
              <w:rPr>
                <w:color w:val="0000FF"/>
                <w:u w:val="single"/>
              </w:rPr>
              <w:t>Regulations Amending the Precursor Control Regulations (Increased Regulatory Oversight)</w:t>
            </w:r>
            <w:r>
              <w:rPr>
                <w:color w:val="0000FF"/>
                <w:u w:val="single"/>
              </w:rPr>
              <w:fldChar w:fldCharType="end"/>
            </w:r>
            <w:r>
              <w:t xml:space="preserve"> (available in English and French)</w:t>
            </w:r>
          </w:p>
          <w:p w14:paraId="18F36F28">
            <w:pPr>
              <w:spacing w:before="120" w:after="120"/>
            </w:pPr>
            <w:r>
              <w:fldChar w:fldCharType="begin"/>
            </w:r>
            <w:r>
              <w:instrText xml:space="preserve"> HYPERLINK "https://can01.safelinks.protection.outlook.com/?url=https%3A%2F%2Fgazette.gc.ca%2Frp-pr%2Fp1%2F2025%2F2025-06-28%2Fhtml%2Freg3-eng.html&amp;data=05%7C02%7CDanielle.MacDonald%40hc-sc.gc.ca%7C567c202a8b964cc25a9808ddb59e617c%7C42fd9015de4d4223a368baeacab48927%7C0%7C0%7C638866414037616365%7CUnknown%7CTWFpbGZsb3d8eyJFbXB0eU1hcGkiOnRydWUsIlYiOiIwLjAuMDAwMCIsIlAiOiJXaW4zMiIsIkFOIjoiTWFpbCIsIldUIjoyfQ%3D%3D%7C0%7C%7C%7C&amp;sdata=ebOJ0d51j%2F2nLGuJfctMR6mTOktHQnrsza9XUvn%2BxnE%3D&amp;reserved=0" </w:instrText>
            </w:r>
            <w:r>
              <w:fldChar w:fldCharType="separate"/>
            </w:r>
            <w:r>
              <w:rPr>
                <w:color w:val="0000FF"/>
                <w:u w:val="single"/>
              </w:rPr>
              <w:t>Order Amending Schedule IX to the Controlled Drugs and Substances Act</w:t>
            </w:r>
            <w:r>
              <w:rPr>
                <w:color w:val="0000FF"/>
                <w:u w:val="single"/>
              </w:rPr>
              <w:fldChar w:fldCharType="end"/>
            </w:r>
            <w:r>
              <w:t>(available in English and French)</w:t>
            </w:r>
          </w:p>
        </w:tc>
      </w:tr>
      <w:tr w14:paraId="08847C3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A06804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673B2DB">
            <w:pPr>
              <w:spacing w:before="120" w:after="120"/>
            </w:pPr>
            <w:r>
              <w:rPr>
                <w:b/>
              </w:rPr>
              <w:t>Proposed date of adoption:</w:t>
            </w:r>
            <w:r>
              <w:t xml:space="preserve"> A 45-day public consultation period has been launched. Due to the significant public health and public safety risks associated with illegal drug production in clandestine laboratories, the intent is to publish final regulations in the Canada Gazette, Part II in fall 2025.</w:t>
            </w:r>
          </w:p>
          <w:p w14:paraId="1FA14298">
            <w:pPr>
              <w:spacing w:after="120"/>
            </w:pPr>
            <w:r>
              <w:rPr>
                <w:b/>
              </w:rPr>
              <w:t>Proposed date of entry into force:</w:t>
            </w:r>
            <w:r>
              <w:t xml:space="preserve"> It is proposed that the regulations would come into force on the date of final publication.</w:t>
            </w:r>
          </w:p>
        </w:tc>
      </w:tr>
      <w:tr w14:paraId="4C73E75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D9D156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6E4AF3B2">
            <w:pPr>
              <w:spacing w:before="120" w:after="120"/>
            </w:pPr>
            <w:r>
              <w:rPr>
                <w:b/>
              </w:rPr>
              <w:t>Final date for comments:</w:t>
            </w:r>
            <w:r>
              <w:t xml:space="preserve"> 12 August 2025</w:t>
            </w:r>
            <w:bookmarkStart w:id="10" w:name="_GoBack"/>
            <w:bookmarkEnd w:id="10"/>
          </w:p>
        </w:tc>
      </w:tr>
      <w:tr w14:paraId="76F285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57F52EC">
            <w:pPr>
              <w:keepNext/>
              <w:keepLines/>
              <w:spacing w:before="120" w:after="120"/>
              <w:jc w:val="left"/>
              <w:rPr>
                <w:b/>
              </w:rPr>
            </w:pPr>
            <w:r>
              <w:rPr>
                <w:b/>
              </w:rPr>
              <w:t>11.</w:t>
            </w:r>
          </w:p>
        </w:tc>
        <w:tc>
          <w:tcPr>
            <w:tcW w:w="8546" w:type="dxa"/>
            <w:tcBorders>
              <w:top w:val="single" w:color="auto" w:sz="6" w:space="0"/>
            </w:tcBorders>
            <w:shd w:val="clear" w:color="auto" w:fill="auto"/>
          </w:tcPr>
          <w:p w14:paraId="509CD870">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222B8457">
            <w:pPr>
              <w:rPr>
                <w:iCs/>
              </w:rPr>
            </w:pPr>
            <w:r>
              <w:rPr>
                <w:iCs/>
              </w:rPr>
              <w:t>Order Amending Schedule IX to the Controlled Drugs and Substances Act</w:t>
            </w:r>
          </w:p>
          <w:p w14:paraId="7A80D02C">
            <w:pPr>
              <w:rPr>
                <w:iCs/>
              </w:rPr>
            </w:pPr>
            <w:r>
              <w:fldChar w:fldCharType="begin"/>
            </w:r>
            <w:r>
              <w:instrText xml:space="preserve"> HYPERLINK "https://gazette.gc.ca/rp-pr/p1/2025/2025-06-28/html/reg3-eng.html" \t "_blank" </w:instrText>
            </w:r>
            <w:r>
              <w:fldChar w:fldCharType="separate"/>
            </w:r>
            <w:r>
              <w:rPr>
                <w:iCs/>
                <w:color w:val="0000FF"/>
                <w:u w:val="single"/>
              </w:rPr>
              <w:t>https://gazette.gc.ca/rp-pr/p1/2025/2025-06-28/html/reg3-eng.html</w:t>
            </w:r>
            <w:r>
              <w:rPr>
                <w:iCs/>
                <w:color w:val="0000FF"/>
                <w:u w:val="single"/>
              </w:rPr>
              <w:fldChar w:fldCharType="end"/>
            </w:r>
            <w:r>
              <w:rPr>
                <w:iCs/>
              </w:rPr>
              <w:t xml:space="preserve"> (English)</w:t>
            </w:r>
          </w:p>
          <w:p w14:paraId="3ABF2EA2">
            <w:pPr>
              <w:rPr>
                <w:iCs/>
              </w:rPr>
            </w:pPr>
            <w:r>
              <w:fldChar w:fldCharType="begin"/>
            </w:r>
            <w:r>
              <w:instrText xml:space="preserve"> HYPERLINK "https://gazette.gc.ca/rp-pr/p1/2025/2025-06-28/html/reg3-fra.html" \t "_blank" </w:instrText>
            </w:r>
            <w:r>
              <w:fldChar w:fldCharType="separate"/>
            </w:r>
            <w:r>
              <w:rPr>
                <w:iCs/>
                <w:color w:val="0000FF"/>
                <w:u w:val="single"/>
              </w:rPr>
              <w:t>https://gazette.gc.ca/rp-pr/p1/2025/2025-06-28/html/reg3-fra.html</w:t>
            </w:r>
            <w:r>
              <w:rPr>
                <w:iCs/>
                <w:color w:val="0000FF"/>
                <w:u w:val="single"/>
              </w:rPr>
              <w:fldChar w:fldCharType="end"/>
            </w:r>
            <w:r>
              <w:rPr>
                <w:iCs/>
              </w:rPr>
              <w:t xml:space="preserve"> (French)</w:t>
            </w:r>
          </w:p>
          <w:p w14:paraId="536CC010">
            <w:pPr>
              <w:rPr>
                <w:iCs/>
              </w:rPr>
            </w:pPr>
            <w:r>
              <w:rPr>
                <w:iCs/>
              </w:rPr>
              <w:t>Regulations Amending the Precursor Control Regulations (Increased Regulatory Oversight)</w:t>
            </w:r>
          </w:p>
          <w:p w14:paraId="0E10FD08">
            <w:pPr>
              <w:rPr>
                <w:iCs/>
              </w:rPr>
            </w:pPr>
            <w:r>
              <w:fldChar w:fldCharType="begin"/>
            </w:r>
            <w:r>
              <w:instrText xml:space="preserve"> HYPERLINK "https://gazette.gc.ca/rp-pr/p1/2025/2025-06-28/html/reg2-eng.html" \t "_blank" </w:instrText>
            </w:r>
            <w:r>
              <w:fldChar w:fldCharType="separate"/>
            </w:r>
            <w:r>
              <w:rPr>
                <w:iCs/>
                <w:color w:val="0000FF"/>
                <w:u w:val="single"/>
              </w:rPr>
              <w:t>https://gazette.gc.ca/rp-pr/p1/2025/2025-06-28/html/reg2-eng.html</w:t>
            </w:r>
            <w:r>
              <w:rPr>
                <w:iCs/>
                <w:color w:val="0000FF"/>
                <w:u w:val="single"/>
              </w:rPr>
              <w:fldChar w:fldCharType="end"/>
            </w:r>
            <w:r>
              <w:rPr>
                <w:iCs/>
              </w:rPr>
              <w:t xml:space="preserve"> (English)</w:t>
            </w:r>
          </w:p>
          <w:p w14:paraId="3CC7DFDE">
            <w:pPr>
              <w:rPr>
                <w:iCs/>
              </w:rPr>
            </w:pPr>
            <w:r>
              <w:fldChar w:fldCharType="begin"/>
            </w:r>
            <w:r>
              <w:instrText xml:space="preserve"> HYPERLINK "https://gazette.gc.ca/rp-pr/p1/2025/2025-06-28/html/reg2-fra.html" \t "_blank" </w:instrText>
            </w:r>
            <w:r>
              <w:fldChar w:fldCharType="separate"/>
            </w:r>
            <w:r>
              <w:rPr>
                <w:iCs/>
                <w:color w:val="0000FF"/>
                <w:u w:val="single"/>
              </w:rPr>
              <w:t>https://gazette.gc.ca/rp-pr/p1/2025/2025-06-28/html/reg2-fra.html</w:t>
            </w:r>
            <w:r>
              <w:rPr>
                <w:iCs/>
                <w:color w:val="0000FF"/>
                <w:u w:val="single"/>
              </w:rPr>
              <w:fldChar w:fldCharType="end"/>
            </w:r>
            <w:r>
              <w:rPr>
                <w:iCs/>
              </w:rPr>
              <w:t xml:space="preserve"> (French)</w:t>
            </w:r>
          </w:p>
          <w:p w14:paraId="5AE417D2">
            <w:pPr>
              <w:rPr>
                <w:iCs/>
              </w:rPr>
            </w:pPr>
            <w:r>
              <w:rPr>
                <w:iCs/>
              </w:rPr>
              <w:t>Canada's Notification Authority and Enquiry Point</w:t>
            </w:r>
          </w:p>
          <w:p w14:paraId="7B72BAC3">
            <w:pPr>
              <w:rPr>
                <w:iCs/>
              </w:rPr>
            </w:pPr>
            <w:r>
              <w:rPr>
                <w:iCs/>
              </w:rPr>
              <w:t>Global Affairs Canada</w:t>
            </w:r>
          </w:p>
          <w:p w14:paraId="7B73C51F">
            <w:pPr>
              <w:rPr>
                <w:iCs/>
              </w:rPr>
            </w:pPr>
            <w:r>
              <w:rPr>
                <w:iCs/>
              </w:rPr>
              <w:t>Technical Barriers and Regulations Division</w:t>
            </w:r>
          </w:p>
          <w:p w14:paraId="235E20E3">
            <w:pPr>
              <w:rPr>
                <w:iCs/>
              </w:rPr>
            </w:pPr>
            <w:r>
              <w:rPr>
                <w:iCs/>
              </w:rPr>
              <w:t>111 Sussex Drive Ottawa (Ontario)</w:t>
            </w:r>
          </w:p>
          <w:p w14:paraId="6D206A38">
            <w:pPr>
              <w:rPr>
                <w:iCs/>
              </w:rPr>
            </w:pPr>
            <w:r>
              <w:rPr>
                <w:iCs/>
              </w:rPr>
              <w:t>K1A 0G2 Canada</w:t>
            </w:r>
          </w:p>
          <w:p w14:paraId="0F97EAAC">
            <w:pPr>
              <w:rPr>
                <w:iCs/>
              </w:rPr>
            </w:pPr>
            <w:r>
              <w:rPr>
                <w:iCs/>
              </w:rPr>
              <w:t>Tel: (343)203-4273</w:t>
            </w:r>
          </w:p>
          <w:p w14:paraId="52127391">
            <w:pPr>
              <w:rPr>
                <w:iCs/>
              </w:rPr>
            </w:pPr>
            <w:r>
              <w:rPr>
                <w:iCs/>
              </w:rPr>
              <w:t>Fax: 613-943-0346</w:t>
            </w:r>
          </w:p>
          <w:p w14:paraId="26A63EE5">
            <w:pPr>
              <w:keepNext/>
              <w:keepLines/>
              <w:spacing w:after="120"/>
              <w:rPr>
                <w:bCs/>
              </w:rPr>
            </w:pPr>
            <w:r>
              <w:rPr>
                <w:iCs/>
              </w:rPr>
              <w:t xml:space="preserve">Email: </w:t>
            </w:r>
            <w:r>
              <w:fldChar w:fldCharType="begin"/>
            </w:r>
            <w:r>
              <w:instrText xml:space="preserve"> HYPERLINK "mailto:enquirypoint@international.gc.ca" </w:instrText>
            </w:r>
            <w:r>
              <w:fldChar w:fldCharType="separate"/>
            </w:r>
            <w:r>
              <w:rPr>
                <w:iCs/>
                <w:color w:val="0000FF"/>
                <w:u w:val="single"/>
              </w:rPr>
              <w:t>enquirypoint@international.gc.ca</w:t>
            </w:r>
            <w:r>
              <w:rPr>
                <w:iCs/>
                <w:color w:val="0000FF"/>
                <w:u w:val="single"/>
              </w:rPr>
              <w:fldChar w:fldCharType="end"/>
            </w:r>
          </w:p>
        </w:tc>
      </w:tr>
    </w:tbl>
    <w:p w14:paraId="50ED3A7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0538F">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3EC0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E08D7">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310A1">
    <w:pPr>
      <w:pStyle w:val="58"/>
      <w:pBdr>
        <w:bottom w:val="single" w:color="auto" w:sz="4" w:space="1"/>
      </w:pBdr>
      <w:tabs>
        <w:tab w:val="clear" w:pos="4513"/>
        <w:tab w:val="clear" w:pos="9027"/>
      </w:tabs>
      <w:jc w:val="center"/>
    </w:pPr>
    <w:bookmarkStart w:id="0" w:name="spsSymbolHeader"/>
    <w:r>
      <w:t>G/TBT/N/CAN/746</w:t>
    </w:r>
    <w:bookmarkEnd w:id="0"/>
  </w:p>
  <w:p w14:paraId="6A81CEBF">
    <w:pPr>
      <w:pStyle w:val="58"/>
      <w:pBdr>
        <w:bottom w:val="single" w:color="auto" w:sz="4" w:space="1"/>
      </w:pBdr>
      <w:tabs>
        <w:tab w:val="clear" w:pos="4513"/>
        <w:tab w:val="clear" w:pos="9027"/>
      </w:tabs>
      <w:jc w:val="center"/>
    </w:pPr>
  </w:p>
  <w:p w14:paraId="10E5628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B02D460">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A682A">
    <w:pPr>
      <w:pStyle w:val="58"/>
      <w:pBdr>
        <w:bottom w:val="single" w:color="auto" w:sz="4" w:space="1"/>
      </w:pBdr>
      <w:tabs>
        <w:tab w:val="clear" w:pos="4513"/>
        <w:tab w:val="clear" w:pos="9027"/>
      </w:tabs>
      <w:jc w:val="center"/>
    </w:pPr>
    <w:r>
      <w:t>tbtSymbol</w:t>
    </w:r>
  </w:p>
  <w:p w14:paraId="7C4B104F">
    <w:pPr>
      <w:pStyle w:val="58"/>
      <w:pBdr>
        <w:bottom w:val="single" w:color="auto" w:sz="4" w:space="1"/>
      </w:pBdr>
      <w:tabs>
        <w:tab w:val="clear" w:pos="4513"/>
        <w:tab w:val="clear" w:pos="9027"/>
      </w:tabs>
      <w:jc w:val="center"/>
    </w:pPr>
  </w:p>
  <w:p w14:paraId="66BDAD0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5A47310">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3E8F08A">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CFED967">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27E6FF9D">
          <w:pPr>
            <w:jc w:val="right"/>
            <w:rPr>
              <w:b/>
              <w:color w:val="FF0000"/>
              <w:szCs w:val="16"/>
            </w:rPr>
          </w:pPr>
        </w:p>
      </w:tc>
    </w:tr>
    <w:bookmarkEnd w:id="1"/>
    <w:tr w14:paraId="33787ABD">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7A60DB69">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0CE3FF5">
          <w:pPr>
            <w:jc w:val="right"/>
            <w:rPr>
              <w:b/>
              <w:szCs w:val="16"/>
            </w:rPr>
          </w:pPr>
        </w:p>
      </w:tc>
    </w:tr>
    <w:tr w14:paraId="2AC37B5E">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30096B52">
          <w:pPr>
            <w:jc w:val="left"/>
            <w:rPr>
              <w:lang w:eastAsia="en-GB"/>
            </w:rPr>
          </w:pPr>
        </w:p>
      </w:tc>
      <w:tc>
        <w:tcPr>
          <w:tcW w:w="5448" w:type="dxa"/>
          <w:gridSpan w:val="2"/>
          <w:shd w:val="clear" w:color="auto" w:fill="FFFFFF"/>
          <w:tcMar>
            <w:left w:w="108" w:type="dxa"/>
            <w:right w:w="108" w:type="dxa"/>
          </w:tcMar>
        </w:tcPr>
        <w:p w14:paraId="7466E747">
          <w:pPr>
            <w:jc w:val="right"/>
            <w:rPr>
              <w:rFonts w:hint="eastAsia" w:eastAsia="宋体"/>
              <w:b/>
              <w:szCs w:val="16"/>
              <w:lang w:eastAsia="zh-CN"/>
            </w:rPr>
          </w:pPr>
          <w:bookmarkStart w:id="2" w:name="bmkSymbols"/>
          <w:r>
            <w:rPr>
              <w:b/>
              <w:szCs w:val="16"/>
            </w:rPr>
            <w:t>G/TBT/N/CAN/74</w:t>
          </w:r>
          <w:bookmarkEnd w:id="2"/>
          <w:r>
            <w:rPr>
              <w:rFonts w:hint="eastAsia" w:eastAsia="宋体"/>
              <w:b/>
              <w:szCs w:val="16"/>
              <w:lang w:val="en-US" w:eastAsia="zh-CN"/>
            </w:rPr>
            <w:t>7</w:t>
          </w:r>
        </w:p>
      </w:tc>
    </w:tr>
    <w:tr w14:paraId="520F935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8608045"/>
      </w:tc>
      <w:tc>
        <w:tcPr>
          <w:tcW w:w="5448" w:type="dxa"/>
          <w:gridSpan w:val="2"/>
          <w:shd w:val="clear" w:color="auto" w:fill="FFFFFF"/>
          <w:tcMar>
            <w:left w:w="108" w:type="dxa"/>
            <w:right w:w="108" w:type="dxa"/>
          </w:tcMar>
          <w:vAlign w:val="center"/>
        </w:tcPr>
        <w:p w14:paraId="1925969C">
          <w:pPr>
            <w:jc w:val="right"/>
            <w:rPr>
              <w:szCs w:val="16"/>
            </w:rPr>
          </w:pPr>
          <w:bookmarkStart w:id="3" w:name="bmkDate"/>
          <w:bookmarkStart w:id="4" w:name="spsDateDistribution"/>
          <w:r>
            <w:rPr>
              <w:szCs w:val="16"/>
            </w:rPr>
            <w:t>4 July 2025</w:t>
          </w:r>
          <w:bookmarkEnd w:id="3"/>
          <w:bookmarkEnd w:id="4"/>
        </w:p>
      </w:tc>
    </w:tr>
    <w:tr w14:paraId="0CBFC997">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A948B68">
          <w:pPr>
            <w:jc w:val="left"/>
            <w:rPr>
              <w:b/>
            </w:rPr>
          </w:pPr>
          <w:bookmarkStart w:id="5" w:name="bmkSerial"/>
          <w:r>
            <w:rPr>
              <w:b w:val="0"/>
              <w:color w:val="FF0000"/>
            </w:rPr>
            <w:t>(25-</w:t>
          </w:r>
          <w:r>
            <w:rPr>
              <w:rFonts w:hint="eastAsia" w:eastAsia="宋体"/>
              <w:b w:val="0"/>
              <w:color w:val="FF0000"/>
              <w:lang w:val="en-US" w:eastAsia="zh-CN"/>
            </w:rPr>
            <w:t>4360</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6FB4F8F5">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3D21306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4A55FA0">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475258B0">
          <w:pPr>
            <w:jc w:val="right"/>
            <w:rPr>
              <w:bCs/>
              <w:szCs w:val="18"/>
            </w:rPr>
          </w:pPr>
          <w:bookmarkStart w:id="8" w:name="bmkLanguage"/>
          <w:r>
            <w:rPr>
              <w:bCs/>
              <w:szCs w:val="18"/>
            </w:rPr>
            <w:t xml:space="preserve">Original: </w:t>
          </w:r>
          <w:bookmarkStart w:id="9" w:name="spsOriginalLanguage"/>
          <w:r>
            <w:rPr>
              <w:bCs/>
              <w:szCs w:val="18"/>
            </w:rPr>
            <w:t>English, French</w:t>
          </w:r>
          <w:bookmarkEnd w:id="8"/>
          <w:bookmarkEnd w:id="9"/>
        </w:p>
      </w:tc>
    </w:tr>
  </w:tbl>
  <w:p w14:paraId="3D4BB34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6E6D"/>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257B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573C8"/>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7AFF20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unhideWhenUsed="0" w:uiPriority="2" w:semiHidden="0" w:name="heading 8"/>
    <w:lsdException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5" w:semiHidden="0" w:name="footnote text"/>
    <w:lsdException w:uiPriority="99" w:semiHidden="0" w:name="annotation text"/>
    <w:lsdException w:qFormat="1" w:unhideWhenUsed="0" w:uiPriority="3" w:semiHidden="0" w:name="header"/>
    <w:lsdException w:qFormat="1" w:unhideWhenUsed="0" w:uiPriority="3" w:semiHidden="0" w:name="footer"/>
    <w:lsdException w:uiPriority="99" w:name="index heading"/>
    <w:lsdException w:qFormat="1" w:unhideWhenUsed="0" w:uiPriority="6" w:semiHidden="0" w:name="caption"/>
    <w:lsdException w:qFormat="1" w:unhideWhenUsed="0" w:uiPriority="39" w:semiHidden="0" w:name="table of figures"/>
    <w:lsdException w:uiPriority="99" w:name="envelope address"/>
    <w:lsdException w:uiPriority="99" w:name="envelope return"/>
    <w:lsdException w:qFormat="1" w:unhideWhenUsed="0" w:uiPriority="5" w:semiHidden="0" w:name="footnote reference"/>
    <w:lsdException w:uiPriority="99" w:name="annotation reference"/>
    <w:lsdException w:uiPriority="99" w:name="line number"/>
    <w:lsdException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uiPriority="99" w:name="macro"/>
    <w:lsdException w:uiPriority="39" w:semiHidden="0" w:name="toa heading"/>
    <w:lsdException w:uiPriority="99" w:name="List"/>
    <w:lsdException w:qFormat="1"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qFormat="1" w:uiPriority="99" w:name="Table Web 1"/>
    <w:lsdException w:qFormat="1" w:uiPriority="99" w:name="Table Web 2"/>
    <w:lsdException w:qFormat="1" w:uiPriority="99" w:name="Table Web 3"/>
    <w:lsdException w:uiPriority="99" w:name="Balloon Text"/>
    <w:lsdException w:unhideWhenUsed="0" w:uiPriority="59" w:semiHidden="0" w:name="Table Grid"/>
    <w:lsdException w:qFormat="1"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357</Words>
  <Characters>2456</Characters>
  <Lines>23</Lines>
  <Paragraphs>6</Paragraphs>
  <TotalTime>0</TotalTime>
  <ScaleCrop>false</ScaleCrop>
  <LinksUpToDate>false</LinksUpToDate>
  <CharactersWithSpaces>2767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2025-06-03T09:49:00Z</dcterms:created>
  <dc:creator>mark louie medidas</dc:creator>
  <dc:description>LDIMD - DTU</dc:description>
  <cp:lastModifiedBy> 譞譞</cp:lastModifiedBy>
  <dcterms:modified xsi:type="dcterms:W3CDTF">2025-07-06T16:02:34Z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87740AF143FA4FAA806B4182730E9536_12</vt:lpwstr>
  </property>
</Properties>
</file>