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47770">
      <w:pPr>
        <w:pStyle w:val="84"/>
        <w:rPr>
          <w:caps w:val="0"/>
          <w:kern w:val="0"/>
        </w:rPr>
      </w:pPr>
      <w:r>
        <w:rPr>
          <w:caps w:val="0"/>
          <w:kern w:val="0"/>
        </w:rPr>
        <w:t>NOTIFICATION</w:t>
      </w:r>
    </w:p>
    <w:p w14:paraId="5F86DFEC">
      <w:pPr>
        <w:jc w:val="center"/>
      </w:pPr>
      <w:r>
        <w:t>The following notification is being circulated in accordance with Article 10.6</w:t>
      </w:r>
    </w:p>
    <w:p w14:paraId="5449519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D708BF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BCB6360">
            <w:pPr>
              <w:spacing w:before="120" w:after="120"/>
              <w:jc w:val="left"/>
            </w:pPr>
            <w:r>
              <w:rPr>
                <w:b/>
              </w:rPr>
              <w:t>1.</w:t>
            </w:r>
          </w:p>
        </w:tc>
        <w:tc>
          <w:tcPr>
            <w:tcW w:w="8546" w:type="dxa"/>
            <w:tcBorders>
              <w:bottom w:val="single" w:color="auto" w:sz="6" w:space="0"/>
            </w:tcBorders>
            <w:shd w:val="clear" w:color="auto" w:fill="auto"/>
          </w:tcPr>
          <w:p w14:paraId="64B00DB9">
            <w:pPr>
              <w:spacing w:before="120" w:after="120"/>
            </w:pPr>
            <w:r>
              <w:rPr>
                <w:b/>
              </w:rPr>
              <w:t>Notifying Member:</w:t>
            </w:r>
            <w:r>
              <w:t xml:space="preserve"> </w:t>
            </w:r>
            <w:r>
              <w:rPr>
                <w:u w:val="single"/>
              </w:rPr>
              <w:t>BURUNDI, KENYA, RWANDA, TANZANIA, UGANDA</w:t>
            </w:r>
          </w:p>
          <w:p w14:paraId="510B66B8">
            <w:pPr>
              <w:spacing w:after="120"/>
            </w:pPr>
            <w:r>
              <w:rPr>
                <w:b/>
              </w:rPr>
              <w:t>If applicable, name of local government involved (Article 3.2 and 7.2):</w:t>
            </w:r>
            <w:r>
              <w:t xml:space="preserve"> </w:t>
            </w:r>
          </w:p>
        </w:tc>
      </w:tr>
      <w:tr w14:paraId="7B8201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1B75F60">
            <w:pPr>
              <w:spacing w:before="120" w:after="120"/>
              <w:jc w:val="left"/>
            </w:pPr>
            <w:r>
              <w:rPr>
                <w:b/>
              </w:rPr>
              <w:t>2.</w:t>
            </w:r>
          </w:p>
        </w:tc>
        <w:tc>
          <w:tcPr>
            <w:tcW w:w="8546" w:type="dxa"/>
            <w:tcBorders>
              <w:top w:val="single" w:color="auto" w:sz="6" w:space="0"/>
              <w:bottom w:val="single" w:color="auto" w:sz="6" w:space="0"/>
            </w:tcBorders>
            <w:shd w:val="clear" w:color="auto" w:fill="auto"/>
          </w:tcPr>
          <w:p w14:paraId="12D2A006">
            <w:pPr>
              <w:spacing w:before="120" w:after="120"/>
            </w:pPr>
            <w:r>
              <w:rPr>
                <w:b/>
              </w:rPr>
              <w:t>Agency responsible:</w:t>
            </w:r>
            <w:r>
              <w:t xml:space="preserve"> </w:t>
            </w:r>
          </w:p>
          <w:p w14:paraId="1EE0117E">
            <w:r>
              <w:t>Kenya Bureau of Standards</w:t>
            </w:r>
          </w:p>
          <w:p w14:paraId="150BD044">
            <w:r>
              <w:t>P.O. Box: 54974-00200, Nairobi, Kenya</w:t>
            </w:r>
          </w:p>
          <w:p w14:paraId="67616DA8">
            <w:pPr>
              <w:numPr>
                <w:ilvl w:val="0"/>
                <w:numId w:val="0"/>
              </w:numPr>
              <w:spacing w:after="120"/>
              <w:rPr>
                <w:color w:val="0000FF"/>
                <w:u w:val="single"/>
              </w:rPr>
            </w:pPr>
            <w:r>
              <w:t xml:space="preserve">Telephone: + (254) 020 605490, 605506/6948258 Fax: + (254) 020 609660/609665 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5529098">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44F71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56DEE1D">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554AB86">
            <w:pPr>
              <w:spacing w:before="120" w:after="120"/>
            </w:pPr>
            <w:r>
              <w:rPr>
                <w:b/>
              </w:rPr>
              <w:t>Notified under Article 2.9.2 [X], 2.10.1 [ ], 5.6.2 [X], 5.7.1 [ ], 3.2 [ ], 7.2 [ ], other:</w:t>
            </w:r>
            <w:r>
              <w:t xml:space="preserve"> </w:t>
            </w:r>
          </w:p>
        </w:tc>
      </w:tr>
      <w:tr w14:paraId="7C93BA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C8FFA8">
            <w:pPr>
              <w:spacing w:before="120" w:after="120"/>
              <w:jc w:val="left"/>
            </w:pPr>
            <w:r>
              <w:rPr>
                <w:b/>
              </w:rPr>
              <w:t>4.</w:t>
            </w:r>
          </w:p>
        </w:tc>
        <w:tc>
          <w:tcPr>
            <w:tcW w:w="8546" w:type="dxa"/>
            <w:tcBorders>
              <w:top w:val="single" w:color="auto" w:sz="6" w:space="0"/>
              <w:bottom w:val="single" w:color="auto" w:sz="6" w:space="0"/>
            </w:tcBorders>
            <w:shd w:val="clear" w:color="auto" w:fill="auto"/>
          </w:tcPr>
          <w:p w14:paraId="0604ADFF">
            <w:pPr>
              <w:spacing w:before="120" w:after="120"/>
            </w:pPr>
            <w:r>
              <w:rPr>
                <w:b/>
              </w:rPr>
              <w:t>Products covered (HS or CCCN where applicable, otherwise national tariff heading. ICS numbers may be provided in addition, where applicable):</w:t>
            </w:r>
            <w:r>
              <w:t xml:space="preserve">  Other fermented beverages (for example, cider, perry, mead, saké); mixtures of fermented beverages and mixtures of fermented beverages and non-alcoholic beverages, not elsewhere specified or included. (HS code(s): 2206); Alcoholic beverages (ICS code(s): 67.160.10)</w:t>
            </w:r>
          </w:p>
        </w:tc>
      </w:tr>
      <w:tr w14:paraId="6A69FC0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A694FF3">
            <w:pPr>
              <w:spacing w:before="120" w:after="120"/>
              <w:jc w:val="left"/>
            </w:pPr>
            <w:r>
              <w:rPr>
                <w:b/>
              </w:rPr>
              <w:t>5.</w:t>
            </w:r>
          </w:p>
        </w:tc>
        <w:tc>
          <w:tcPr>
            <w:tcW w:w="8546" w:type="dxa"/>
            <w:tcBorders>
              <w:top w:val="single" w:color="auto" w:sz="6" w:space="0"/>
              <w:bottom w:val="single" w:color="auto" w:sz="6" w:space="0"/>
            </w:tcBorders>
            <w:shd w:val="clear" w:color="auto" w:fill="auto"/>
          </w:tcPr>
          <w:p w14:paraId="36788EC2">
            <w:pPr>
              <w:spacing w:before="120" w:after="120"/>
            </w:pPr>
            <w:r>
              <w:rPr>
                <w:b/>
              </w:rPr>
              <w:t>Title, number of pages and language(s) of the notified document:</w:t>
            </w:r>
            <w:r>
              <w:t xml:space="preserve"> DEAS 63: 2025 Beer — Specification; (12 page(s), in English)</w:t>
            </w:r>
          </w:p>
        </w:tc>
      </w:tr>
      <w:tr w14:paraId="72527C9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75C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698FCF3">
            <w:pPr>
              <w:spacing w:before="120" w:after="120"/>
            </w:pPr>
            <w:r>
              <w:rPr>
                <w:b/>
              </w:rPr>
              <w:t>Description of content:</w:t>
            </w:r>
            <w:r>
              <w:rPr>
                <w:rFonts w:hint="eastAsia" w:eastAsia="宋体"/>
                <w:b/>
                <w:lang w:val="en-US" w:eastAsia="zh-CN"/>
              </w:rPr>
              <w:t xml:space="preserve"> </w:t>
            </w:r>
            <w:r>
              <w:t>This Draft East African Standard specifies the requirements, sampling and test methods for beer for human consumption</w:t>
            </w:r>
          </w:p>
        </w:tc>
      </w:tr>
      <w:tr w14:paraId="7CCF326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822DAE">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A1F460C">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Harmonization; Reducing trade barriers and facilitating trade</w:t>
            </w:r>
          </w:p>
        </w:tc>
      </w:tr>
      <w:tr w14:paraId="2C47615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CD2615">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03AC1ED">
            <w:pPr>
              <w:spacing w:before="120" w:after="120"/>
              <w:rPr>
                <w:bCs/>
              </w:rPr>
            </w:pPr>
            <w:r>
              <w:rPr>
                <w:b/>
              </w:rPr>
              <w:t>Relevant documents:</w:t>
            </w:r>
            <w:r>
              <w:t xml:space="preserve"> </w:t>
            </w:r>
          </w:p>
          <w:p w14:paraId="7E33B611">
            <w:pPr>
              <w:numPr>
                <w:ilvl w:val="0"/>
                <w:numId w:val="7"/>
              </w:numPr>
              <w:spacing w:before="120" w:after="120"/>
            </w:pPr>
            <w:r>
              <w:t>CODEX STAN 192, Codex general standard for food additives</w:t>
            </w:r>
          </w:p>
          <w:p w14:paraId="20DC963A">
            <w:pPr>
              <w:numPr>
                <w:ilvl w:val="0"/>
                <w:numId w:val="7"/>
              </w:numPr>
              <w:spacing w:before="120" w:after="120"/>
            </w:pPr>
            <w:r>
              <w:t>EAS 12, Potable water — Specification</w:t>
            </w:r>
          </w:p>
          <w:p w14:paraId="497BDFD9">
            <w:pPr>
              <w:numPr>
                <w:ilvl w:val="0"/>
                <w:numId w:val="7"/>
              </w:numPr>
              <w:spacing w:before="120" w:after="120"/>
            </w:pPr>
            <w:r>
              <w:t>EAS 38, Labelling of prepackaged foods — General requirements</w:t>
            </w:r>
          </w:p>
          <w:p w14:paraId="30476B30">
            <w:pPr>
              <w:numPr>
                <w:ilvl w:val="0"/>
                <w:numId w:val="7"/>
              </w:numPr>
              <w:spacing w:before="120" w:after="120"/>
            </w:pPr>
            <w:r>
              <w:t>EAS 39, Hygiene in the food and drink industry — Code of practice</w:t>
            </w:r>
          </w:p>
          <w:p w14:paraId="3EE7E4BB">
            <w:pPr>
              <w:numPr>
                <w:ilvl w:val="0"/>
                <w:numId w:val="7"/>
              </w:numPr>
              <w:spacing w:before="120" w:after="120"/>
            </w:pPr>
            <w:r>
              <w:t>EAS 104, Alcoholic beverages — Methods of sampling and test</w:t>
            </w:r>
          </w:p>
          <w:p w14:paraId="613EC109">
            <w:pPr>
              <w:numPr>
                <w:ilvl w:val="0"/>
                <w:numId w:val="7"/>
              </w:numPr>
              <w:spacing w:before="120" w:after="120"/>
            </w:pPr>
            <w:r>
              <w:t>ISO 1842, Fruit and vegetable products — Determination of pH</w:t>
            </w:r>
          </w:p>
          <w:p w14:paraId="3F804DB6">
            <w:pPr>
              <w:numPr>
                <w:ilvl w:val="0"/>
                <w:numId w:val="7"/>
              </w:numPr>
              <w:spacing w:before="120" w:after="120"/>
            </w:pPr>
            <w:r>
              <w:t>ISO 2447:1998, Fruit and vegetable products — Determination of tin content</w:t>
            </w:r>
          </w:p>
          <w:p w14:paraId="383217FC">
            <w:pPr>
              <w:numPr>
                <w:ilvl w:val="0"/>
                <w:numId w:val="7"/>
              </w:numPr>
              <w:spacing w:before="120" w:after="120"/>
            </w:pPr>
            <w:r>
              <w:t>ISO 4832, Microbiology of food and animal feeding stuffs — Horizontal method for the enumeration of coliforms — Colony-count technique</w:t>
            </w:r>
          </w:p>
          <w:p w14:paraId="71915458">
            <w:pPr>
              <w:numPr>
                <w:ilvl w:val="0"/>
                <w:numId w:val="7"/>
              </w:numPr>
              <w:spacing w:before="120" w:after="120"/>
            </w:pPr>
            <w:r>
              <w:t>ISO 4833-1, Microbiology of the food chain — Horizontal method for the enumeration of micro-organisms —Part 1: Colony-count at 30 degrees C — Pour plate technique</w:t>
            </w:r>
          </w:p>
          <w:p w14:paraId="7405B5B6">
            <w:pPr>
              <w:numPr>
                <w:ilvl w:val="0"/>
                <w:numId w:val="7"/>
              </w:numPr>
              <w:spacing w:before="120" w:after="120"/>
            </w:pPr>
            <w:bookmarkStart w:id="10" w:name="_GoBack"/>
            <w:bookmarkEnd w:id="10"/>
            <w:r>
              <w:t>ISO 16050, Foodstuffs — Determination of aflatoxin B1, and the total content of aflatoxins B1, B2, G1 and G2 in cereals, nuts and derived products — High-performance liquid chromatographic method</w:t>
            </w:r>
          </w:p>
        </w:tc>
      </w:tr>
      <w:tr w14:paraId="13FBA3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96F4A2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D7BE546">
            <w:pPr>
              <w:spacing w:before="120" w:after="120"/>
            </w:pPr>
            <w:r>
              <w:rPr>
                <w:b/>
              </w:rPr>
              <w:t>Proposed date of adoption:</w:t>
            </w:r>
            <w:r>
              <w:t xml:space="preserve"> To be determined</w:t>
            </w:r>
          </w:p>
          <w:p w14:paraId="25178FFD">
            <w:pPr>
              <w:spacing w:after="120"/>
            </w:pPr>
            <w:r>
              <w:rPr>
                <w:b/>
              </w:rPr>
              <w:t>Proposed date of entry into force:</w:t>
            </w:r>
            <w:r>
              <w:t xml:space="preserve"> To be determined</w:t>
            </w:r>
          </w:p>
        </w:tc>
      </w:tr>
      <w:tr w14:paraId="2E34F90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916CA">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2AC11D5">
            <w:pPr>
              <w:spacing w:before="120" w:after="120"/>
              <w:rPr>
                <w:rFonts w:hint="eastAsia" w:eastAsia="宋体"/>
                <w:lang w:eastAsia="zh-CN"/>
              </w:rPr>
            </w:pPr>
            <w:r>
              <w:rPr>
                <w:b/>
              </w:rPr>
              <w:t>Final date for comments:</w:t>
            </w:r>
            <w:r>
              <w:t xml:space="preserve"> 2 September 2025</w:t>
            </w:r>
            <w:r>
              <w:rPr>
                <w:rFonts w:hint="eastAsia" w:eastAsia="宋体"/>
                <w:lang w:eastAsia="zh-CN"/>
              </w:rPr>
              <w:t>，</w:t>
            </w:r>
          </w:p>
          <w:p w14:paraId="6E1ED81B">
            <w:pPr>
              <w:spacing w:before="120" w:after="120"/>
              <w:rPr>
                <w:rFonts w:hint="eastAsia" w:eastAsia="宋体"/>
                <w:lang w:eastAsia="zh-CN"/>
              </w:rPr>
            </w:pPr>
            <w:r>
              <w:rPr>
                <w:b/>
                <w:bCs/>
              </w:rPr>
              <w:t>[X] 60 days from notification</w:t>
            </w:r>
          </w:p>
        </w:tc>
      </w:tr>
      <w:tr w14:paraId="6B44CE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142B43F">
            <w:pPr>
              <w:keepNext/>
              <w:keepLines/>
              <w:spacing w:before="120" w:after="120"/>
              <w:jc w:val="left"/>
              <w:rPr>
                <w:b/>
              </w:rPr>
            </w:pPr>
            <w:r>
              <w:rPr>
                <w:b/>
              </w:rPr>
              <w:t>11.</w:t>
            </w:r>
          </w:p>
        </w:tc>
        <w:tc>
          <w:tcPr>
            <w:tcW w:w="8546" w:type="dxa"/>
            <w:tcBorders>
              <w:top w:val="single" w:color="auto" w:sz="6" w:space="0"/>
            </w:tcBorders>
            <w:shd w:val="clear" w:color="auto" w:fill="auto"/>
          </w:tcPr>
          <w:p w14:paraId="3709B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7C1A8F3">
            <w:r>
              <w:t>Kenya Bureau of Standards (KEBS)</w:t>
            </w:r>
          </w:p>
          <w:p w14:paraId="6B7B5E19">
            <w:r>
              <w:t>KEBS Centre</w:t>
            </w:r>
          </w:p>
          <w:p w14:paraId="76D5CD87">
            <w:r>
              <w:t>Contact Person: Managing Director</w:t>
            </w:r>
          </w:p>
          <w:p w14:paraId="033ABC57">
            <w:r>
              <w:t>Popo Road, off Mombasa Road, Behind Bellevue Cinema</w:t>
            </w:r>
          </w:p>
          <w:p w14:paraId="7F5818AA">
            <w:r>
              <w:t>P.O. Box 54974</w:t>
            </w:r>
          </w:p>
          <w:p w14:paraId="71B72167">
            <w:r>
              <w:t>Nairobi 00200</w:t>
            </w:r>
          </w:p>
          <w:p w14:paraId="19894FB3">
            <w:r>
              <w:t>Tel: +(254) 722 202137; +(254) 724 255242</w:t>
            </w:r>
          </w:p>
          <w:p w14:paraId="43C3536E">
            <w:r>
              <w:t>Fax: +(254) 20 609660; +(254) 20 604031</w:t>
            </w:r>
          </w:p>
          <w:p w14:paraId="37646ECA">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24DE4078">
            <w:pPr>
              <w:keepNext/>
              <w:keepLines/>
              <w:pBdr>
                <w:top w:val="none" w:color="auto" w:sz="0" w:space="4"/>
              </w:pBdr>
              <w:spacing w:after="120"/>
              <w:rPr>
                <w:color w:val="0000FF"/>
                <w:u w:val="single"/>
                <w:lang w:val="pt-PT"/>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p w14:paraId="39CF4E8A">
            <w:pPr>
              <w:keepNext/>
              <w:keepLines/>
              <w:pBdr>
                <w:top w:val="none" w:color="auto" w:sz="0" w:space="4"/>
              </w:pBdr>
              <w:spacing w:after="120"/>
              <w:rPr>
                <w:color w:val="0000FF"/>
                <w:u w:val="single"/>
                <w:lang w:val="pt-PT"/>
              </w:rPr>
            </w:pPr>
            <w:r>
              <w:fldChar w:fldCharType="begin"/>
            </w:r>
            <w:r>
              <w:instrText xml:space="preserve"> HYPERLINK "https://members.wto.org/crnattachments/2025/TBT/KEN/25_04410_00_e.pdf" \t "_blank" </w:instrText>
            </w:r>
            <w:r>
              <w:fldChar w:fldCharType="separate"/>
            </w:r>
            <w:r>
              <w:rPr>
                <w:iCs/>
                <w:color w:val="0000FF"/>
                <w:u w:val="single"/>
              </w:rPr>
              <w:t>https://members.wto.org/crnattachments/2025/TBT/KEN/25_04410_00_e.pdf</w:t>
            </w:r>
            <w:r>
              <w:rPr>
                <w:iCs/>
                <w:color w:val="0000FF"/>
                <w:u w:val="single"/>
              </w:rPr>
              <w:fldChar w:fldCharType="end"/>
            </w:r>
          </w:p>
        </w:tc>
      </w:tr>
    </w:tbl>
    <w:p w14:paraId="49B7329A">
      <w:pPr>
        <w:rPr>
          <w:lang w:val="pt-PT"/>
        </w:rPr>
      </w:pP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3DE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4F05">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3CBB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1995E">
    <w:pPr>
      <w:pStyle w:val="58"/>
      <w:pBdr>
        <w:bottom w:val="single" w:color="auto" w:sz="4" w:space="1"/>
      </w:pBdr>
      <w:tabs>
        <w:tab w:val="clear" w:pos="4513"/>
        <w:tab w:val="clear" w:pos="9027"/>
      </w:tabs>
      <w:jc w:val="center"/>
    </w:pPr>
    <w:bookmarkStart w:id="9" w:name="spsSymbolHeader"/>
    <w:r>
      <w:t>G/TBT/N/BDI/619, G/TBT/N/KEN/1819, G/TBT/N/RWA/1218, G/TBT/N/TZA/1360, G/TBT/N/UGA/2174</w:t>
    </w:r>
    <w:bookmarkEnd w:id="9"/>
  </w:p>
  <w:p w14:paraId="43658969">
    <w:pPr>
      <w:pStyle w:val="58"/>
      <w:pBdr>
        <w:bottom w:val="single" w:color="auto" w:sz="4" w:space="1"/>
      </w:pBdr>
      <w:tabs>
        <w:tab w:val="clear" w:pos="4513"/>
        <w:tab w:val="clear" w:pos="9027"/>
      </w:tabs>
      <w:jc w:val="center"/>
    </w:pPr>
  </w:p>
  <w:p w14:paraId="295547F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7B62811">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3450">
    <w:pPr>
      <w:pStyle w:val="58"/>
      <w:pBdr>
        <w:bottom w:val="single" w:color="auto" w:sz="4" w:space="1"/>
      </w:pBdr>
      <w:tabs>
        <w:tab w:val="clear" w:pos="4513"/>
        <w:tab w:val="clear" w:pos="9027"/>
      </w:tabs>
      <w:jc w:val="center"/>
    </w:pPr>
    <w:r>
      <w:t>tbtSymbol</w:t>
    </w:r>
  </w:p>
  <w:p w14:paraId="556BB8A7">
    <w:pPr>
      <w:pStyle w:val="58"/>
      <w:pBdr>
        <w:bottom w:val="single" w:color="auto" w:sz="4" w:space="1"/>
      </w:pBdr>
      <w:tabs>
        <w:tab w:val="clear" w:pos="4513"/>
        <w:tab w:val="clear" w:pos="9027"/>
      </w:tabs>
      <w:jc w:val="center"/>
    </w:pPr>
  </w:p>
  <w:p w14:paraId="2097C579">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97F6E86">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890810B">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576D59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AED9C42">
          <w:pPr>
            <w:jc w:val="right"/>
            <w:rPr>
              <w:b/>
              <w:color w:val="FF0000"/>
              <w:szCs w:val="16"/>
            </w:rPr>
          </w:pPr>
        </w:p>
      </w:tc>
    </w:tr>
    <w:bookmarkEnd w:id="0"/>
    <w:tr w14:paraId="339D1D6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1AB3609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E8D08F2">
          <w:pPr>
            <w:jc w:val="right"/>
            <w:rPr>
              <w:b/>
              <w:szCs w:val="16"/>
            </w:rPr>
          </w:pPr>
        </w:p>
      </w:tc>
    </w:tr>
    <w:tr w14:paraId="4F498A5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D7EE5FF">
          <w:pPr>
            <w:jc w:val="left"/>
            <w:rPr>
              <w:lang w:eastAsia="en-GB"/>
            </w:rPr>
          </w:pPr>
        </w:p>
      </w:tc>
      <w:tc>
        <w:tcPr>
          <w:tcW w:w="5448" w:type="dxa"/>
          <w:gridSpan w:val="2"/>
          <w:shd w:val="clear" w:color="auto" w:fill="FFFFFF"/>
          <w:tcMar>
            <w:left w:w="108" w:type="dxa"/>
            <w:right w:w="108" w:type="dxa"/>
          </w:tcMar>
        </w:tcPr>
        <w:p w14:paraId="784A23BA">
          <w:pPr>
            <w:jc w:val="right"/>
            <w:rPr>
              <w:rFonts w:hint="default" w:eastAsia="宋体"/>
              <w:b/>
              <w:szCs w:val="16"/>
              <w:lang w:val="en-US" w:eastAsia="zh-CN"/>
            </w:rPr>
          </w:pPr>
          <w:bookmarkStart w:id="1" w:name="bmkSymbols"/>
          <w:r>
            <w:rPr>
              <w:b/>
              <w:szCs w:val="16"/>
            </w:rPr>
            <w:t>G/TBT/N/BDI/6</w:t>
          </w:r>
          <w:r>
            <w:rPr>
              <w:rFonts w:hint="eastAsia" w:eastAsia="宋体"/>
              <w:b/>
              <w:szCs w:val="16"/>
              <w:lang w:val="en-US" w:eastAsia="zh-CN"/>
            </w:rPr>
            <w:t>31</w:t>
          </w:r>
          <w:r>
            <w:rPr>
              <w:b/>
              <w:szCs w:val="16"/>
            </w:rPr>
            <w:t>, G/TBT/N/KEN/18</w:t>
          </w:r>
          <w:r>
            <w:rPr>
              <w:rFonts w:hint="eastAsia" w:eastAsia="宋体"/>
              <w:b/>
              <w:szCs w:val="16"/>
              <w:lang w:val="en-US" w:eastAsia="zh-CN"/>
            </w:rPr>
            <w:t>31</w:t>
          </w:r>
          <w:r>
            <w:rPr>
              <w:b/>
              <w:szCs w:val="16"/>
            </w:rPr>
            <w:t>, G/TBT/N/RWA/12</w:t>
          </w:r>
          <w:r>
            <w:rPr>
              <w:rFonts w:hint="eastAsia" w:eastAsia="宋体"/>
              <w:b/>
              <w:szCs w:val="16"/>
              <w:lang w:val="en-US" w:eastAsia="zh-CN"/>
            </w:rPr>
            <w:t>30</w:t>
          </w:r>
          <w:r>
            <w:rPr>
              <w:b/>
              <w:szCs w:val="16"/>
            </w:rPr>
            <w:t>, G/TBT/N/TZA/13</w:t>
          </w:r>
          <w:r>
            <w:rPr>
              <w:rFonts w:hint="eastAsia" w:eastAsia="宋体"/>
              <w:b/>
              <w:szCs w:val="16"/>
              <w:lang w:val="en-US" w:eastAsia="zh-CN"/>
            </w:rPr>
            <w:t>72</w:t>
          </w:r>
          <w:r>
            <w:rPr>
              <w:b/>
              <w:szCs w:val="16"/>
            </w:rPr>
            <w:t>, G/TBT/N/UGA/21</w:t>
          </w:r>
          <w:bookmarkEnd w:id="1"/>
          <w:r>
            <w:rPr>
              <w:rFonts w:hint="eastAsia" w:eastAsia="宋体"/>
              <w:b/>
              <w:szCs w:val="16"/>
              <w:lang w:val="en-US" w:eastAsia="zh-CN"/>
            </w:rPr>
            <w:t>86</w:t>
          </w:r>
        </w:p>
      </w:tc>
    </w:tr>
    <w:tr w14:paraId="386445B3">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34CD125"/>
      </w:tc>
      <w:tc>
        <w:tcPr>
          <w:tcW w:w="5448" w:type="dxa"/>
          <w:gridSpan w:val="2"/>
          <w:shd w:val="clear" w:color="auto" w:fill="FFFFFF"/>
          <w:tcMar>
            <w:left w:w="108" w:type="dxa"/>
            <w:right w:w="108" w:type="dxa"/>
          </w:tcMar>
          <w:vAlign w:val="center"/>
        </w:tcPr>
        <w:p w14:paraId="4500525B">
          <w:pPr>
            <w:jc w:val="right"/>
            <w:rPr>
              <w:szCs w:val="16"/>
            </w:rPr>
          </w:pPr>
          <w:bookmarkStart w:id="2" w:name="bmkDate"/>
          <w:bookmarkStart w:id="3" w:name="spsDateDistribution"/>
          <w:r>
            <w:rPr>
              <w:rFonts w:hint="eastAsia" w:eastAsia="宋体"/>
              <w:szCs w:val="16"/>
              <w:lang w:val="en-US" w:eastAsia="zh-CN"/>
            </w:rPr>
            <w:t>4</w:t>
          </w:r>
          <w:r>
            <w:rPr>
              <w:szCs w:val="16"/>
            </w:rPr>
            <w:t xml:space="preserve"> July 2025</w:t>
          </w:r>
          <w:bookmarkEnd w:id="2"/>
          <w:bookmarkEnd w:id="3"/>
        </w:p>
      </w:tc>
    </w:tr>
    <w:tr w14:paraId="4A534AE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9D2B94B">
          <w:pPr>
            <w:jc w:val="left"/>
            <w:rPr>
              <w:b/>
            </w:rPr>
          </w:pPr>
          <w:bookmarkStart w:id="4" w:name="bmkSerial"/>
          <w:r>
            <w:rPr>
              <w:b w:val="0"/>
              <w:color w:val="FF0000"/>
            </w:rPr>
            <w:t>(25-4</w:t>
          </w:r>
          <w:r>
            <w:rPr>
              <w:rFonts w:hint="eastAsia" w:eastAsia="宋体"/>
              <w:b w:val="0"/>
              <w:color w:val="FF0000"/>
              <w:lang w:val="en-US" w:eastAsia="zh-CN"/>
            </w:rPr>
            <w:t>345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41B6736">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5"/>
        </w:p>
      </w:tc>
    </w:tr>
    <w:tr w14:paraId="16B72284">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786E246F">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478BB5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AB3E0B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64A6A"/>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C2FFC"/>
    <w:rsid w:val="009D1D8C"/>
    <w:rsid w:val="009D1FF8"/>
    <w:rsid w:val="009E75ED"/>
    <w:rsid w:val="009F1F2F"/>
    <w:rsid w:val="009F21A8"/>
    <w:rsid w:val="00A04DCD"/>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088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55D1"/>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3D19"/>
    <w:rsid w:val="00E969D2"/>
    <w:rsid w:val="00EA5D4F"/>
    <w:rsid w:val="00EB6C56"/>
    <w:rsid w:val="00ED54E0"/>
    <w:rsid w:val="00ED66D3"/>
    <w:rsid w:val="00EE26D8"/>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04741C"/>
    <w:rsid w:val="117E40CF"/>
    <w:rsid w:val="11866F89"/>
    <w:rsid w:val="1DFC1901"/>
    <w:rsid w:val="24A00ED0"/>
    <w:rsid w:val="2F90153F"/>
    <w:rsid w:val="47094CE6"/>
    <w:rsid w:val="503B3FE8"/>
    <w:rsid w:val="51AF46B4"/>
    <w:rsid w:val="5E090DD9"/>
    <w:rsid w:val="622D669F"/>
    <w:rsid w:val="76E91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564</Words>
  <Characters>3353</Characters>
  <Lines>38</Lines>
  <Paragraphs>10</Paragraphs>
  <TotalTime>0</TotalTime>
  <ScaleCrop>false</ScaleCrop>
  <LinksUpToDate>false</LinksUpToDate>
  <CharactersWithSpaces>3869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2025-06-19T15:22:00Z</dcterms:created>
  <dc:creator>mark louie medidas</dc:creator>
  <dc:description>LDIMD - DTU</dc:description>
  <cp:lastModifiedBy> 譞譞</cp:lastModifiedBy>
  <dcterms:modified xsi:type="dcterms:W3CDTF">2025-07-06T15:55:49Z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3CC2A9CF37E3420B8A9EA272AF224311_12</vt:lpwstr>
  </property>
</Properties>
</file>