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1EE0117E">
            <w:r>
              <w:t>Kenya Bureau of Standards</w:t>
            </w:r>
          </w:p>
          <w:p w14:paraId="150BD044">
            <w:r>
              <w:t>P.O. Box: 54974-00200, Nairobi, Kenya</w:t>
            </w:r>
          </w:p>
          <w:p w14:paraId="67616DA8">
            <w:pPr>
              <w:numPr>
                <w:ilvl w:val="0"/>
                <w:numId w:val="0"/>
              </w:numPr>
              <w:spacing w:after="120"/>
              <w:rPr>
                <w:color w:val="0000FF"/>
                <w:u w:val="single"/>
              </w:rPr>
            </w:pPr>
            <w:r>
              <w:t xml:space="preserve">Telephone: + (254) 020 605490, 605506/6948258 Fax: + (254) 020 609660/609665 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Other fermented beverages (for example, cider, perry, mead, saké); mixtures of fermented beverages and mixtures of fermented beverages and non-alcoholic beverages, not elsewhere specified or included. (HS code(s): 2206); Alcoholic beverages (ICS code(s): 67.160.10)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36788EC2">
            <w:pPr>
              <w:spacing w:before="120" w:after="120"/>
            </w:pPr>
            <w:r>
              <w:rPr>
                <w:b/>
              </w:rPr>
              <w:t>Title, number of pages and language(s) of the notified document:</w:t>
            </w:r>
            <w:r>
              <w:t xml:space="preserve">  DEAS 61: 2025 Opaque beer — Specification; (9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rPr>
                <w:rFonts w:hint="eastAsia" w:eastAsia="宋体"/>
                <w:b/>
                <w:lang w:val="en-US" w:eastAsia="zh-CN"/>
              </w:rPr>
              <w:t xml:space="preserve"> </w:t>
            </w:r>
            <w:r>
              <w:t>This Draft East African Standard specifies the requirements, sampling and methods of test for opaque beer for human consumption.</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0EB3B58C">
            <w:pPr>
              <w:numPr>
                <w:ilvl w:val="0"/>
                <w:numId w:val="7"/>
              </w:numPr>
              <w:spacing w:before="120" w:after="120"/>
            </w:pPr>
            <w:r>
              <w:t>CODEX STAN 192, Codex general standard for food additives</w:t>
            </w:r>
          </w:p>
          <w:p w14:paraId="1F4878A1">
            <w:pPr>
              <w:numPr>
                <w:ilvl w:val="0"/>
                <w:numId w:val="7"/>
              </w:numPr>
              <w:spacing w:before="120" w:after="120"/>
            </w:pPr>
            <w:r>
              <w:t>EAS 5, Refined white sugar — Specification</w:t>
            </w:r>
          </w:p>
          <w:p w14:paraId="3A4877E1">
            <w:pPr>
              <w:numPr>
                <w:ilvl w:val="0"/>
                <w:numId w:val="7"/>
              </w:numPr>
              <w:spacing w:before="120" w:after="120"/>
            </w:pPr>
            <w:r>
              <w:t>EAS 38, Labelling of prepackaged foods — Specification</w:t>
            </w:r>
          </w:p>
          <w:p w14:paraId="092BBFD8">
            <w:pPr>
              <w:numPr>
                <w:ilvl w:val="0"/>
                <w:numId w:val="7"/>
              </w:numPr>
              <w:spacing w:before="120" w:after="120"/>
            </w:pPr>
            <w:r>
              <w:t>EAS 39, Hygiene in the food and drink industry — Code of practice</w:t>
            </w:r>
          </w:p>
          <w:p w14:paraId="6E6B716C">
            <w:pPr>
              <w:numPr>
                <w:ilvl w:val="0"/>
                <w:numId w:val="7"/>
              </w:numPr>
              <w:spacing w:before="120" w:after="120"/>
            </w:pPr>
            <w:r>
              <w:t>EAS 100, Food stuffs — Methods of determination of Lead</w:t>
            </w:r>
          </w:p>
          <w:p w14:paraId="2AEB1FAA">
            <w:pPr>
              <w:numPr>
                <w:ilvl w:val="0"/>
                <w:numId w:val="7"/>
              </w:numPr>
              <w:spacing w:before="120" w:after="120"/>
            </w:pPr>
            <w:r>
              <w:t>ISO 1842, Fruit and vegetable products — Determination of pH</w:t>
            </w:r>
          </w:p>
          <w:p w14:paraId="192A9819">
            <w:pPr>
              <w:numPr>
                <w:ilvl w:val="0"/>
                <w:numId w:val="7"/>
              </w:numPr>
              <w:spacing w:before="120" w:after="120"/>
            </w:pPr>
            <w:r>
              <w:t>ISO 4832, Microbiology of food and animal feeding stuffs — Horizontal method for the enumeration of coliforms - Colony-count technique</w:t>
            </w:r>
          </w:p>
          <w:p w14:paraId="1219BAAC">
            <w:pPr>
              <w:numPr>
                <w:ilvl w:val="0"/>
                <w:numId w:val="7"/>
              </w:numPr>
              <w:spacing w:before="120" w:after="120"/>
            </w:pPr>
            <w:r>
              <w:t>ISO 4831, Microbiology of food and animal feeding stuffs — Horizontal method for the detection and enumeration of coliforms — Most probable number technique</w:t>
            </w:r>
          </w:p>
          <w:p w14:paraId="001B05D2">
            <w:pPr>
              <w:numPr>
                <w:ilvl w:val="0"/>
                <w:numId w:val="7"/>
              </w:numPr>
              <w:spacing w:before="120" w:after="120"/>
            </w:pPr>
            <w:r>
              <w:t>ISO 4833-1, Microbiology of the food chain — Horizontal method for the enumeration of micro-organisms —Part 1: Colony-count at 30 degrees C — Pour plate technique</w:t>
            </w:r>
          </w:p>
          <w:p w14:paraId="27BAF8A5">
            <w:pPr>
              <w:numPr>
                <w:ilvl w:val="0"/>
                <w:numId w:val="7"/>
              </w:numPr>
              <w:spacing w:before="120" w:after="120"/>
            </w:pPr>
            <w:r>
              <w:t>ISO 6461-2, Water quality — Detection and enumeration of the spores of sulphite-reducing anaerobes (Clostridia) — Part 2: Method by membrane filtration</w:t>
            </w:r>
          </w:p>
          <w:p w14:paraId="4AE1A3FD">
            <w:pPr>
              <w:numPr>
                <w:ilvl w:val="0"/>
                <w:numId w:val="7"/>
              </w:numPr>
              <w:spacing w:before="120" w:after="120"/>
            </w:pPr>
            <w:r>
              <w:t>ISO 6634, Fruits, vegetables and derived products — Determination of arsenic content — Silver diethyldithiocarbamate spectrophotometric method</w:t>
            </w:r>
          </w:p>
          <w:p w14:paraId="67E41A7F">
            <w:pPr>
              <w:numPr>
                <w:ilvl w:val="0"/>
                <w:numId w:val="7"/>
              </w:numPr>
              <w:spacing w:before="120" w:after="120"/>
            </w:pPr>
            <w:r>
              <w:t>ISO 16050, Foodstuffs Determination of aflatoxin B1, and the total content of aflatoxins B1, B2, G1 and G2 in cereals, nuts and derived products — High-performance liquid chromatographic method</w:t>
            </w:r>
          </w:p>
          <w:p w14:paraId="13C3F37F">
            <w:pPr>
              <w:numPr>
                <w:ilvl w:val="0"/>
                <w:numId w:val="7"/>
              </w:numPr>
              <w:spacing w:before="120" w:after="120"/>
            </w:pPr>
            <w:bookmarkStart w:id="10" w:name="_GoBack"/>
            <w:bookmarkEnd w:id="10"/>
            <w:r>
              <w:t>ISO 17239:2004, Fruits, vegetables and derived products — Determination of arsenic content — Method using hydride generation atomic absorption spectrometry</w:t>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2 September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7C1A8F3">
            <w:r>
              <w:t>Kenya Bureau of Standards (KEBS)</w:t>
            </w:r>
          </w:p>
          <w:p w14:paraId="6B7B5E19">
            <w:r>
              <w:t>KEBS Centre</w:t>
            </w:r>
          </w:p>
          <w:p w14:paraId="76D5CD87">
            <w:r>
              <w:t>Contact Person: Managing Director</w:t>
            </w:r>
          </w:p>
          <w:p w14:paraId="033ABC57">
            <w:r>
              <w:t>Popo Road, off Mombasa Road, Behind Bellevue Cinema</w:t>
            </w:r>
          </w:p>
          <w:p w14:paraId="7F5818AA">
            <w:r>
              <w:t>P.O. Box 54974</w:t>
            </w:r>
          </w:p>
          <w:p w14:paraId="71B72167">
            <w:r>
              <w:t>Nairobi 00200</w:t>
            </w:r>
          </w:p>
          <w:p w14:paraId="19894FB3">
            <w:r>
              <w:t>Tel: +(254) 722 202137; +(254) 724 255242</w:t>
            </w:r>
          </w:p>
          <w:p w14:paraId="43C3536E">
            <w:r>
              <w:t>Fax: +(254) 20 609660; +(254) 20 604031</w:t>
            </w:r>
          </w:p>
          <w:p w14:paraId="37646ECA">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24DE4078">
            <w:pPr>
              <w:keepNext/>
              <w:keepLines/>
              <w:pBdr>
                <w:top w:val="none" w:color="auto" w:sz="0" w:space="4"/>
              </w:pBdr>
              <w:spacing w:after="120"/>
              <w:rPr>
                <w:color w:val="0000FF"/>
                <w:u w:val="single"/>
                <w:lang w:val="pt-PT"/>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p w14:paraId="39CF4E8A">
            <w:pPr>
              <w:keepNext/>
              <w:keepLines/>
              <w:pBdr>
                <w:top w:val="none" w:color="auto" w:sz="0" w:space="4"/>
              </w:pBdr>
              <w:spacing w:after="120"/>
              <w:rPr>
                <w:color w:val="0000FF"/>
                <w:u w:val="single"/>
                <w:lang w:val="pt-PT"/>
              </w:rPr>
            </w:pPr>
            <w:r>
              <w:fldChar w:fldCharType="begin"/>
            </w:r>
            <w:r>
              <w:instrText xml:space="preserve"> HYPERLINK "https://members.wto.org/crnattachments/2025/TBT/KEN/25_04405_00_e.pdf" \t "_blank" </w:instrText>
            </w:r>
            <w:r>
              <w:fldChar w:fldCharType="separate"/>
            </w:r>
            <w:r>
              <w:rPr>
                <w:iCs/>
                <w:color w:val="0000FF"/>
                <w:u w:val="single"/>
              </w:rPr>
              <w:t>https://members.wto.org/crnattachments/2025/TBT/KEN/25_04405_00_e.pdf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default" w:eastAsia="宋体"/>
              <w:b/>
              <w:szCs w:val="16"/>
              <w:lang w:val="en-US" w:eastAsia="zh-CN"/>
            </w:rPr>
          </w:pPr>
          <w:bookmarkStart w:id="1" w:name="bmkSymbols"/>
          <w:r>
            <w:rPr>
              <w:b/>
              <w:szCs w:val="16"/>
            </w:rPr>
            <w:t>G/TBT/N/BDI/6</w:t>
          </w:r>
          <w:r>
            <w:rPr>
              <w:rFonts w:hint="eastAsia" w:eastAsia="宋体"/>
              <w:b/>
              <w:szCs w:val="16"/>
              <w:lang w:val="en-US" w:eastAsia="zh-CN"/>
            </w:rPr>
            <w:t>30</w:t>
          </w:r>
          <w:r>
            <w:rPr>
              <w:b/>
              <w:szCs w:val="16"/>
            </w:rPr>
            <w:t>, G/TBT/N/KEN/18</w:t>
          </w:r>
          <w:r>
            <w:rPr>
              <w:rFonts w:hint="eastAsia" w:eastAsia="宋体"/>
              <w:b/>
              <w:szCs w:val="16"/>
              <w:lang w:val="en-US" w:eastAsia="zh-CN"/>
            </w:rPr>
            <w:t>30</w:t>
          </w:r>
          <w:r>
            <w:rPr>
              <w:b/>
              <w:szCs w:val="16"/>
            </w:rPr>
            <w:t>, G/TBT/N/RWA/12</w:t>
          </w:r>
          <w:r>
            <w:rPr>
              <w:rFonts w:hint="eastAsia" w:eastAsia="宋体"/>
              <w:b/>
              <w:szCs w:val="16"/>
              <w:lang w:val="en-US" w:eastAsia="zh-CN"/>
            </w:rPr>
            <w:t>29</w:t>
          </w:r>
          <w:r>
            <w:rPr>
              <w:b/>
              <w:szCs w:val="16"/>
            </w:rPr>
            <w:t>, G/TBT/N/TZA/13</w:t>
          </w:r>
          <w:r>
            <w:rPr>
              <w:rFonts w:hint="eastAsia" w:eastAsia="宋体"/>
              <w:b/>
              <w:szCs w:val="16"/>
              <w:lang w:val="en-US" w:eastAsia="zh-CN"/>
            </w:rPr>
            <w:t>71</w:t>
          </w:r>
          <w:r>
            <w:rPr>
              <w:b/>
              <w:szCs w:val="16"/>
            </w:rPr>
            <w:t>, G/TBT/N/UGA/21</w:t>
          </w:r>
          <w:bookmarkEnd w:id="1"/>
          <w:r>
            <w:rPr>
              <w:rFonts w:hint="eastAsia" w:eastAsia="宋体"/>
              <w:b/>
              <w:szCs w:val="16"/>
              <w:lang w:val="en-US" w:eastAsia="zh-CN"/>
            </w:rPr>
            <w:t>85</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bmkDate"/>
          <w:bookmarkStart w:id="3" w:name="spsDateDistribution"/>
          <w:r>
            <w:rPr>
              <w:rFonts w:hint="eastAsia" w:eastAsia="宋体"/>
              <w:szCs w:val="16"/>
              <w:lang w:val="en-US" w:eastAsia="zh-CN"/>
            </w:rPr>
            <w:t>4</w:t>
          </w:r>
          <w:r>
            <w:rPr>
              <w:szCs w:val="16"/>
            </w:rPr>
            <w:t xml:space="preserve">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346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D04741C"/>
    <w:rsid w:val="117E40CF"/>
    <w:rsid w:val="11866F89"/>
    <w:rsid w:val="1DFC1901"/>
    <w:rsid w:val="24A00ED0"/>
    <w:rsid w:val="2F90153F"/>
    <w:rsid w:val="47094CE6"/>
    <w:rsid w:val="51AF46B4"/>
    <w:rsid w:val="5E090DD9"/>
    <w:rsid w:val="622D669F"/>
    <w:rsid w:val="76E91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359</Words>
  <Characters>2154</Characters>
  <Lines>38</Lines>
  <Paragraphs>10</Paragraphs>
  <TotalTime>0</TotalTime>
  <ScaleCrop>false</ScaleCrop>
  <LinksUpToDate>false</LinksUpToDate>
  <CharactersWithSpaces>2474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2025-07-06T15:53:31Z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