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47770">
      <w:pPr>
        <w:pStyle w:val="84"/>
        <w:rPr>
          <w:caps w:val="0"/>
          <w:kern w:val="0"/>
        </w:rPr>
      </w:pPr>
      <w:r>
        <w:rPr>
          <w:caps w:val="0"/>
          <w:kern w:val="0"/>
        </w:rPr>
        <w:t>NOTIFICATION</w:t>
      </w:r>
    </w:p>
    <w:p w14:paraId="5F86DFEC">
      <w:pPr>
        <w:jc w:val="center"/>
      </w:pPr>
      <w:r>
        <w:t>The following notification is being circulated in accordance with Article 10.6</w:t>
      </w:r>
    </w:p>
    <w:p w14:paraId="5449519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D708BF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BCB6360">
            <w:pPr>
              <w:spacing w:before="120" w:after="120"/>
              <w:jc w:val="left"/>
            </w:pPr>
            <w:r>
              <w:rPr>
                <w:b/>
              </w:rPr>
              <w:t>1.</w:t>
            </w:r>
          </w:p>
        </w:tc>
        <w:tc>
          <w:tcPr>
            <w:tcW w:w="8546" w:type="dxa"/>
            <w:tcBorders>
              <w:bottom w:val="single" w:color="auto" w:sz="6" w:space="0"/>
            </w:tcBorders>
            <w:shd w:val="clear" w:color="auto" w:fill="auto"/>
          </w:tcPr>
          <w:p w14:paraId="64B00DB9">
            <w:pPr>
              <w:spacing w:before="120" w:after="120"/>
            </w:pPr>
            <w:r>
              <w:rPr>
                <w:b/>
              </w:rPr>
              <w:t>Notifying Member:</w:t>
            </w:r>
            <w:r>
              <w:t xml:space="preserve"> </w:t>
            </w:r>
            <w:r>
              <w:rPr>
                <w:u w:val="single"/>
              </w:rPr>
              <w:t>BURUNDI, KENYA, RWANDA, TANZANIA, UGANDA</w:t>
            </w:r>
          </w:p>
          <w:p w14:paraId="510B66B8">
            <w:pPr>
              <w:spacing w:after="120"/>
            </w:pPr>
            <w:r>
              <w:rPr>
                <w:b/>
              </w:rPr>
              <w:t>If applicable, name of local government involved (Article 3.2 and 7.2):</w:t>
            </w:r>
            <w:r>
              <w:t xml:space="preserve"> </w:t>
            </w:r>
          </w:p>
        </w:tc>
      </w:tr>
      <w:tr w14:paraId="7B8201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1B75F60">
            <w:pPr>
              <w:spacing w:before="120" w:after="120"/>
              <w:jc w:val="left"/>
            </w:pPr>
            <w:r>
              <w:rPr>
                <w:b/>
              </w:rPr>
              <w:t>2.</w:t>
            </w:r>
          </w:p>
        </w:tc>
        <w:tc>
          <w:tcPr>
            <w:tcW w:w="8546" w:type="dxa"/>
            <w:tcBorders>
              <w:top w:val="single" w:color="auto" w:sz="6" w:space="0"/>
              <w:bottom w:val="single" w:color="auto" w:sz="6" w:space="0"/>
            </w:tcBorders>
            <w:shd w:val="clear" w:color="auto" w:fill="auto"/>
          </w:tcPr>
          <w:p w14:paraId="12D2A006">
            <w:pPr>
              <w:spacing w:before="120" w:after="120"/>
            </w:pPr>
            <w:r>
              <w:rPr>
                <w:b/>
              </w:rPr>
              <w:t>Agency responsible:</w:t>
            </w:r>
            <w:r>
              <w:t xml:space="preserve"> </w:t>
            </w:r>
          </w:p>
          <w:p w14:paraId="1EE0117E">
            <w:r>
              <w:t>Kenya Bureau of Standards</w:t>
            </w:r>
          </w:p>
          <w:p w14:paraId="150BD044">
            <w:r>
              <w:t>P.O. Box: 54974-00200, Nairobi, Kenya</w:t>
            </w:r>
          </w:p>
          <w:p w14:paraId="67616DA8">
            <w:pPr>
              <w:numPr>
                <w:ilvl w:val="0"/>
                <w:numId w:val="0"/>
              </w:numPr>
              <w:spacing w:after="120"/>
              <w:rPr>
                <w:color w:val="0000FF"/>
                <w:u w:val="single"/>
              </w:rPr>
            </w:pPr>
            <w:r>
              <w:t xml:space="preserve">Telephone: + (254) 020 605490, 605506/6948258 Fax: + (254) 020 609660/609665 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r>
              <w:t xml:space="preserve">; Website: </w:t>
            </w:r>
            <w:r>
              <w:fldChar w:fldCharType="begin"/>
            </w:r>
            <w:r>
              <w:instrText xml:space="preserve"> HYPERLINK "http://www.kebs.org" \t "_blank" </w:instrText>
            </w:r>
            <w:r>
              <w:fldChar w:fldCharType="separate"/>
            </w:r>
            <w:r>
              <w:rPr>
                <w:color w:val="0000FF"/>
                <w:u w:val="single"/>
              </w:rPr>
              <w:t>http://www.kebs.org</w:t>
            </w:r>
            <w:r>
              <w:rPr>
                <w:color w:val="0000FF"/>
                <w:u w:val="single"/>
              </w:rPr>
              <w:fldChar w:fldCharType="end"/>
            </w:r>
          </w:p>
          <w:p w14:paraId="75529098">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C44F71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56DEE1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554AB86">
            <w:pPr>
              <w:spacing w:before="120" w:after="120"/>
            </w:pPr>
            <w:r>
              <w:rPr>
                <w:b/>
              </w:rPr>
              <w:t>Notified under Article 2.9.2 [X], 2.10.1 [ ], 5.6.2 [X], 5.7.1 [ ], 3.2 [ ], 7.2 [ ], other:</w:t>
            </w:r>
            <w:r>
              <w:t xml:space="preserve"> </w:t>
            </w:r>
          </w:p>
        </w:tc>
      </w:tr>
      <w:tr w14:paraId="7C93BA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C8FFA8">
            <w:pPr>
              <w:spacing w:before="120" w:after="120"/>
              <w:jc w:val="left"/>
            </w:pPr>
            <w:r>
              <w:rPr>
                <w:b/>
              </w:rPr>
              <w:t>4.</w:t>
            </w:r>
          </w:p>
        </w:tc>
        <w:tc>
          <w:tcPr>
            <w:tcW w:w="8546" w:type="dxa"/>
            <w:tcBorders>
              <w:top w:val="single" w:color="auto" w:sz="6" w:space="0"/>
              <w:bottom w:val="single" w:color="auto" w:sz="6" w:space="0"/>
            </w:tcBorders>
            <w:shd w:val="clear" w:color="auto" w:fill="auto"/>
          </w:tcPr>
          <w:p w14:paraId="0604ADFF">
            <w:pPr>
              <w:spacing w:before="120" w:after="120"/>
            </w:pPr>
            <w:r>
              <w:rPr>
                <w:b/>
              </w:rPr>
              <w:t>Products covered (HS or CCCN where applicable, otherwise national tariff heading. ICS numbers may be provided in addition, where applicable):</w:t>
            </w:r>
            <w:r>
              <w:t xml:space="preserve"> Other fermented beverages (for example, cider, perry, mead, saké); mixtures of fermented beverages and mixtures of fermented beverages and non-alcoholic beverages, not elsewhere specified or included. (HS code(s): 2206); Alcoholic beverages (ICS code(s): 67.160.10)</w:t>
            </w:r>
          </w:p>
        </w:tc>
      </w:tr>
      <w:tr w14:paraId="6A69FC0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694FF3">
            <w:pPr>
              <w:spacing w:before="120" w:after="120"/>
              <w:jc w:val="left"/>
            </w:pPr>
            <w:r>
              <w:rPr>
                <w:b/>
              </w:rPr>
              <w:t>5.</w:t>
            </w:r>
          </w:p>
        </w:tc>
        <w:tc>
          <w:tcPr>
            <w:tcW w:w="8546" w:type="dxa"/>
            <w:tcBorders>
              <w:top w:val="single" w:color="auto" w:sz="6" w:space="0"/>
              <w:bottom w:val="single" w:color="auto" w:sz="6" w:space="0"/>
            </w:tcBorders>
            <w:shd w:val="clear" w:color="auto" w:fill="auto"/>
          </w:tcPr>
          <w:p w14:paraId="5CEC0075">
            <w:pPr>
              <w:spacing w:before="120" w:after="120"/>
            </w:pPr>
            <w:r>
              <w:rPr>
                <w:b/>
              </w:rPr>
              <w:t>Title, number of pages and language(s) of the notified document:</w:t>
            </w:r>
            <w:r>
              <w:t xml:space="preserve"> DEAS 1274:2025 Cider and Perry — Specification; (12 page(s), in English)</w:t>
            </w:r>
          </w:p>
        </w:tc>
      </w:tr>
      <w:tr w14:paraId="72527C9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F75C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698FCF3">
            <w:pPr>
              <w:spacing w:before="120" w:after="120"/>
            </w:pPr>
            <w:r>
              <w:rPr>
                <w:b/>
              </w:rPr>
              <w:t>Description of content:</w:t>
            </w:r>
            <w:r>
              <w:t xml:space="preserve"> This Draft East African Standard specifies the requirements, sampling and test methods for cider and perry for human consumption</w:t>
            </w:r>
          </w:p>
        </w:tc>
      </w:tr>
      <w:tr w14:paraId="7CCF326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822DAE">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A1F460C">
            <w:pPr>
              <w:spacing w:before="120" w:after="120"/>
              <w:rPr>
                <w:b/>
              </w:rPr>
            </w:pPr>
            <w:r>
              <w:rPr>
                <w:b/>
              </w:rPr>
              <w:t>Objective and rationale, including the nature of urgent problems where applicable:</w:t>
            </w:r>
            <w:r>
              <w:t xml:space="preserve"> Consumer information, labelling; Protection of human health or safety; Quality requirements; Harmonization; Reducing trade barriers and facilitating trade</w:t>
            </w:r>
          </w:p>
        </w:tc>
      </w:tr>
      <w:tr w14:paraId="2C4761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CD261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03AC1ED">
            <w:pPr>
              <w:spacing w:before="120" w:after="120"/>
              <w:rPr>
                <w:bCs/>
              </w:rPr>
            </w:pPr>
            <w:r>
              <w:rPr>
                <w:b/>
              </w:rPr>
              <w:t>Relevant documents:</w:t>
            </w:r>
            <w:r>
              <w:t xml:space="preserve"> </w:t>
            </w:r>
          </w:p>
          <w:p w14:paraId="6E51DAD5">
            <w:pPr>
              <w:numPr>
                <w:ilvl w:val="0"/>
                <w:numId w:val="7"/>
              </w:numPr>
              <w:spacing w:before="120" w:after="120"/>
            </w:pPr>
            <w:r>
              <w:t>AOAC 940.15, Acids in Cordials and Liqueurs</w:t>
            </w:r>
          </w:p>
          <w:p w14:paraId="55451962">
            <w:pPr>
              <w:numPr>
                <w:ilvl w:val="0"/>
                <w:numId w:val="7"/>
              </w:numPr>
              <w:spacing w:before="120" w:after="120"/>
            </w:pPr>
            <w:r>
              <w:t>AOAC 926.03, Alcohol by Volume in Distilled Liquors</w:t>
            </w:r>
          </w:p>
          <w:p w14:paraId="56EBB61E">
            <w:pPr>
              <w:numPr>
                <w:ilvl w:val="0"/>
                <w:numId w:val="7"/>
              </w:numPr>
              <w:spacing w:before="120" w:after="120"/>
            </w:pPr>
            <w:r>
              <w:t>AOAC 2015.01, Heavy Metals in Food</w:t>
            </w:r>
          </w:p>
          <w:p w14:paraId="2BB67DDB">
            <w:pPr>
              <w:numPr>
                <w:ilvl w:val="0"/>
                <w:numId w:val="7"/>
              </w:numPr>
              <w:spacing w:before="120" w:after="120"/>
            </w:pPr>
            <w:r>
              <w:t>AOAC 960.17, Copper in Distilled Liquors</w:t>
            </w:r>
          </w:p>
          <w:p w14:paraId="1307160D">
            <w:pPr>
              <w:numPr>
                <w:ilvl w:val="0"/>
                <w:numId w:val="7"/>
              </w:numPr>
              <w:spacing w:before="120" w:after="120"/>
            </w:pPr>
            <w:r>
              <w:t>KS ISO 5379, Starches and derived products — Determination of sulfur dioxide content — Acidimetric method and nephelometric method</w:t>
            </w:r>
          </w:p>
          <w:p w14:paraId="11E59BE2">
            <w:pPr>
              <w:numPr>
                <w:ilvl w:val="0"/>
                <w:numId w:val="7"/>
              </w:numPr>
              <w:spacing w:before="120" w:after="120"/>
            </w:pPr>
            <w:r>
              <w:t>KS ISO 10359-2, Water quality — Determination of fluoride — Part 2: Determination of inorganically bound total fluoride after digestion and distillation</w:t>
            </w:r>
          </w:p>
          <w:p w14:paraId="3099F88E">
            <w:pPr>
              <w:numPr>
                <w:ilvl w:val="0"/>
                <w:numId w:val="7"/>
              </w:numPr>
              <w:spacing w:before="120" w:after="120"/>
            </w:pPr>
            <w:r>
              <w:t>KS CODEX STAN 192, General standard for food additives</w:t>
            </w:r>
          </w:p>
          <w:p w14:paraId="1DE1360E">
            <w:pPr>
              <w:numPr>
                <w:ilvl w:val="0"/>
                <w:numId w:val="7"/>
              </w:numPr>
              <w:spacing w:before="120" w:after="120"/>
            </w:pPr>
            <w:r>
              <w:t>KS EAS 38, Labelling of pre-packaged foods ― General requirements</w:t>
            </w:r>
          </w:p>
          <w:p w14:paraId="63E38216">
            <w:pPr>
              <w:numPr>
                <w:ilvl w:val="0"/>
                <w:numId w:val="7"/>
              </w:numPr>
              <w:spacing w:before="120" w:after="120"/>
            </w:pPr>
            <w:r>
              <w:t>KS EAS 39, Hygiene in the food and drink manufacturing industry ― Code of practice</w:t>
            </w:r>
          </w:p>
          <w:p w14:paraId="2A027F61">
            <w:pPr>
              <w:numPr>
                <w:ilvl w:val="0"/>
                <w:numId w:val="7"/>
              </w:numPr>
              <w:spacing w:before="120" w:after="120"/>
            </w:pPr>
            <w:r>
              <w:t>ISO 17239, Fruits, vegetables and derived products — Determination of arsenic content — Method using hydride generation atomic absorption spectrometry</w:t>
            </w:r>
          </w:p>
          <w:p w14:paraId="3E338FD6">
            <w:pPr>
              <w:numPr>
                <w:ilvl w:val="0"/>
                <w:numId w:val="7"/>
              </w:numPr>
              <w:spacing w:before="120" w:after="120"/>
            </w:pPr>
            <w:r>
              <w:t>ISO 6633, Fruits, vegetables and derived products — Determination of lead content — Flameless atomic absorption spectrometric method</w:t>
            </w:r>
            <w:bookmarkStart w:id="10" w:name="_GoBack"/>
            <w:bookmarkEnd w:id="10"/>
          </w:p>
        </w:tc>
      </w:tr>
      <w:tr w14:paraId="13FBA3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96F4A2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D7BE546">
            <w:pPr>
              <w:spacing w:before="120" w:after="120"/>
            </w:pPr>
            <w:r>
              <w:rPr>
                <w:b/>
              </w:rPr>
              <w:t>Proposed date of adoption:</w:t>
            </w:r>
            <w:r>
              <w:t xml:space="preserve"> To be determined</w:t>
            </w:r>
          </w:p>
          <w:p w14:paraId="25178FFD">
            <w:pPr>
              <w:spacing w:after="120"/>
            </w:pPr>
            <w:r>
              <w:rPr>
                <w:b/>
              </w:rPr>
              <w:t>Proposed date of entry into force:</w:t>
            </w:r>
            <w:r>
              <w:t xml:space="preserve"> To be determined</w:t>
            </w:r>
          </w:p>
        </w:tc>
      </w:tr>
      <w:tr w14:paraId="2E34F9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916CA">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2AC11D5">
            <w:pPr>
              <w:spacing w:before="120" w:after="120"/>
              <w:rPr>
                <w:rFonts w:hint="eastAsia" w:eastAsia="宋体"/>
                <w:lang w:eastAsia="zh-CN"/>
              </w:rPr>
            </w:pPr>
            <w:r>
              <w:rPr>
                <w:b/>
              </w:rPr>
              <w:t>Final date for comments:</w:t>
            </w:r>
            <w:r>
              <w:t xml:space="preserve"> 2 September 2025</w:t>
            </w:r>
            <w:r>
              <w:rPr>
                <w:rFonts w:hint="eastAsia" w:eastAsia="宋体"/>
                <w:lang w:eastAsia="zh-CN"/>
              </w:rPr>
              <w:t>，</w:t>
            </w:r>
          </w:p>
          <w:p w14:paraId="6E1ED81B">
            <w:pPr>
              <w:spacing w:before="120" w:after="120"/>
              <w:rPr>
                <w:rFonts w:hint="eastAsia" w:eastAsia="宋体"/>
                <w:lang w:eastAsia="zh-CN"/>
              </w:rPr>
            </w:pPr>
            <w:r>
              <w:rPr>
                <w:b/>
                <w:bCs/>
              </w:rPr>
              <w:t>[X] 60 days from notification</w:t>
            </w:r>
          </w:p>
        </w:tc>
      </w:tr>
      <w:tr w14:paraId="6B44CE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142B43F">
            <w:pPr>
              <w:keepNext/>
              <w:keepLines/>
              <w:spacing w:before="120" w:after="120"/>
              <w:jc w:val="left"/>
              <w:rPr>
                <w:b/>
              </w:rPr>
            </w:pPr>
            <w:r>
              <w:rPr>
                <w:b/>
              </w:rPr>
              <w:t>11.</w:t>
            </w:r>
          </w:p>
        </w:tc>
        <w:tc>
          <w:tcPr>
            <w:tcW w:w="8546" w:type="dxa"/>
            <w:tcBorders>
              <w:top w:val="single" w:color="auto" w:sz="6" w:space="0"/>
            </w:tcBorders>
            <w:shd w:val="clear" w:color="auto" w:fill="auto"/>
          </w:tcPr>
          <w:p w14:paraId="3709B6E5">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7C1A8F3">
            <w:r>
              <w:t>Kenya Bureau of Standards (KEBS)</w:t>
            </w:r>
          </w:p>
          <w:p w14:paraId="6B7B5E19">
            <w:r>
              <w:t>KEBS Centre</w:t>
            </w:r>
          </w:p>
          <w:p w14:paraId="76D5CD87">
            <w:r>
              <w:t>Contact Person: Managing Director</w:t>
            </w:r>
          </w:p>
          <w:p w14:paraId="033ABC57">
            <w:r>
              <w:t>Popo Road, off Mombasa Road, Behind Bellevue Cinema</w:t>
            </w:r>
          </w:p>
          <w:p w14:paraId="7F5818AA">
            <w:r>
              <w:t>P.O. Box 54974</w:t>
            </w:r>
          </w:p>
          <w:p w14:paraId="71B72167">
            <w:r>
              <w:t>Nairobi 00200</w:t>
            </w:r>
          </w:p>
          <w:p w14:paraId="19894FB3">
            <w:r>
              <w:t>Tel: +(254) 722 202137; +(254) 724 255242</w:t>
            </w:r>
          </w:p>
          <w:p w14:paraId="43C3536E">
            <w:r>
              <w:t>Fax: +(254) 20 609660; +(254) 20 604031</w:t>
            </w:r>
          </w:p>
          <w:p w14:paraId="37646ECA">
            <w:r>
              <w:t xml:space="preserve">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p>
          <w:p w14:paraId="24DE4078">
            <w:pPr>
              <w:keepNext/>
              <w:keepLines/>
              <w:pBdr>
                <w:top w:val="none" w:color="auto" w:sz="0" w:space="4"/>
              </w:pBdr>
              <w:spacing w:after="120"/>
              <w:rPr>
                <w:color w:val="0000FF"/>
                <w:u w:val="single"/>
                <w:lang w:val="pt-PT"/>
              </w:rPr>
            </w:pPr>
            <w:r>
              <w:t xml:space="preserve">Website: </w:t>
            </w:r>
            <w:r>
              <w:fldChar w:fldCharType="begin"/>
            </w:r>
            <w:r>
              <w:instrText xml:space="preserve"> HYPERLINK "https://www.kebs.org" \t "_blank" </w:instrText>
            </w:r>
            <w:r>
              <w:fldChar w:fldCharType="separate"/>
            </w:r>
            <w:r>
              <w:rPr>
                <w:color w:val="0000FF"/>
                <w:u w:val="single"/>
              </w:rPr>
              <w:t>https://www.kebs.org</w:t>
            </w:r>
            <w:r>
              <w:rPr>
                <w:color w:val="0000FF"/>
                <w:u w:val="single"/>
              </w:rPr>
              <w:fldChar w:fldCharType="end"/>
            </w:r>
          </w:p>
          <w:p w14:paraId="39CF4E8A">
            <w:pPr>
              <w:keepNext/>
              <w:keepLines/>
              <w:pBdr>
                <w:top w:val="none" w:color="auto" w:sz="0" w:space="4"/>
              </w:pBdr>
              <w:spacing w:after="120"/>
              <w:rPr>
                <w:color w:val="0000FF"/>
                <w:u w:val="single"/>
                <w:lang w:val="pt-PT"/>
              </w:rPr>
            </w:pPr>
            <w:r>
              <w:fldChar w:fldCharType="begin"/>
            </w:r>
            <w:r>
              <w:instrText xml:space="preserve"> HYPERLINK "https://members.wto.org/crnattachments/2025/TBT/KEN/25_04390_00_e.pdf" \t "_blank" </w:instrText>
            </w:r>
            <w:r>
              <w:fldChar w:fldCharType="separate"/>
            </w:r>
            <w:r>
              <w:rPr>
                <w:iCs/>
                <w:color w:val="0000FF"/>
                <w:u w:val="single"/>
              </w:rPr>
              <w:t>https://members.wto.org/crnattachments/2025/TBT/KEN/25_04390_00_e.pdf</w:t>
            </w:r>
            <w:r>
              <w:rPr>
                <w:iCs/>
                <w:color w:val="0000FF"/>
                <w:u w:val="single"/>
              </w:rPr>
              <w:fldChar w:fldCharType="end"/>
            </w:r>
          </w:p>
        </w:tc>
      </w:tr>
    </w:tbl>
    <w:p w14:paraId="49B7329A">
      <w:pPr>
        <w:rPr>
          <w:lang w:val="pt-PT"/>
        </w:rPr>
      </w:pPr>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3DE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4F05">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3CB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995E">
    <w:pPr>
      <w:pStyle w:val="58"/>
      <w:pBdr>
        <w:bottom w:val="single" w:color="auto" w:sz="4" w:space="1"/>
      </w:pBdr>
      <w:tabs>
        <w:tab w:val="clear" w:pos="4513"/>
        <w:tab w:val="clear" w:pos="9027"/>
      </w:tabs>
      <w:jc w:val="center"/>
    </w:pPr>
    <w:bookmarkStart w:id="9" w:name="spsSymbolHeader"/>
    <w:r>
      <w:t>G/TBT/N/BDI/619, G/TBT/N/KEN/1819, G/TBT/N/RWA/1218, G/TBT/N/TZA/1360, G/TBT/N/UGA/2174</w:t>
    </w:r>
    <w:bookmarkEnd w:id="9"/>
  </w:p>
  <w:p w14:paraId="43658969">
    <w:pPr>
      <w:pStyle w:val="58"/>
      <w:pBdr>
        <w:bottom w:val="single" w:color="auto" w:sz="4" w:space="1"/>
      </w:pBdr>
      <w:tabs>
        <w:tab w:val="clear" w:pos="4513"/>
        <w:tab w:val="clear" w:pos="9027"/>
      </w:tabs>
      <w:jc w:val="center"/>
    </w:pPr>
  </w:p>
  <w:p w14:paraId="295547F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7B62811">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83450">
    <w:pPr>
      <w:pStyle w:val="58"/>
      <w:pBdr>
        <w:bottom w:val="single" w:color="auto" w:sz="4" w:space="1"/>
      </w:pBdr>
      <w:tabs>
        <w:tab w:val="clear" w:pos="4513"/>
        <w:tab w:val="clear" w:pos="9027"/>
      </w:tabs>
      <w:jc w:val="center"/>
    </w:pPr>
    <w:r>
      <w:t>tbtSymbol</w:t>
    </w:r>
  </w:p>
  <w:p w14:paraId="556BB8A7">
    <w:pPr>
      <w:pStyle w:val="58"/>
      <w:pBdr>
        <w:bottom w:val="single" w:color="auto" w:sz="4" w:space="1"/>
      </w:pBdr>
      <w:tabs>
        <w:tab w:val="clear" w:pos="4513"/>
        <w:tab w:val="clear" w:pos="9027"/>
      </w:tabs>
      <w:jc w:val="center"/>
    </w:pPr>
  </w:p>
  <w:p w14:paraId="2097C57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97F6E86">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890810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576D59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AED9C42">
          <w:pPr>
            <w:jc w:val="right"/>
            <w:rPr>
              <w:b/>
              <w:color w:val="FF0000"/>
              <w:szCs w:val="16"/>
            </w:rPr>
          </w:pPr>
        </w:p>
      </w:tc>
    </w:tr>
    <w:bookmarkEnd w:id="0"/>
    <w:tr w14:paraId="339D1D6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AB3609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E8D08F2">
          <w:pPr>
            <w:jc w:val="right"/>
            <w:rPr>
              <w:b/>
              <w:szCs w:val="16"/>
            </w:rPr>
          </w:pPr>
        </w:p>
      </w:tc>
    </w:tr>
    <w:tr w14:paraId="4F498A5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D7EE5FF">
          <w:pPr>
            <w:jc w:val="left"/>
            <w:rPr>
              <w:lang w:eastAsia="en-GB"/>
            </w:rPr>
          </w:pPr>
        </w:p>
      </w:tc>
      <w:tc>
        <w:tcPr>
          <w:tcW w:w="5448" w:type="dxa"/>
          <w:gridSpan w:val="2"/>
          <w:shd w:val="clear" w:color="auto" w:fill="FFFFFF"/>
          <w:tcMar>
            <w:left w:w="108" w:type="dxa"/>
            <w:right w:w="108" w:type="dxa"/>
          </w:tcMar>
        </w:tcPr>
        <w:p w14:paraId="784A23BA">
          <w:pPr>
            <w:jc w:val="right"/>
            <w:rPr>
              <w:rFonts w:hint="default" w:eastAsia="宋体"/>
              <w:b/>
              <w:szCs w:val="16"/>
              <w:lang w:val="en-US" w:eastAsia="zh-CN"/>
            </w:rPr>
          </w:pPr>
          <w:bookmarkStart w:id="1" w:name="bmkSymbols"/>
          <w:r>
            <w:rPr>
              <w:b/>
              <w:szCs w:val="16"/>
            </w:rPr>
            <w:t>G/TBT/N/BDI/6</w:t>
          </w:r>
          <w:r>
            <w:rPr>
              <w:rFonts w:hint="eastAsia" w:eastAsia="宋体"/>
              <w:b/>
              <w:szCs w:val="16"/>
              <w:lang w:val="en-US" w:eastAsia="zh-CN"/>
            </w:rPr>
            <w:t>27</w:t>
          </w:r>
          <w:r>
            <w:rPr>
              <w:b/>
              <w:szCs w:val="16"/>
            </w:rPr>
            <w:t>, G/TBT/N/KEN/18</w:t>
          </w:r>
          <w:r>
            <w:rPr>
              <w:rFonts w:hint="eastAsia" w:eastAsia="宋体"/>
              <w:b/>
              <w:szCs w:val="16"/>
              <w:lang w:val="en-US" w:eastAsia="zh-CN"/>
            </w:rPr>
            <w:t>27</w:t>
          </w:r>
          <w:r>
            <w:rPr>
              <w:b/>
              <w:szCs w:val="16"/>
            </w:rPr>
            <w:t>, G/TBT/N/RWA/12</w:t>
          </w:r>
          <w:r>
            <w:rPr>
              <w:rFonts w:hint="eastAsia" w:eastAsia="宋体"/>
              <w:b/>
              <w:szCs w:val="16"/>
              <w:lang w:val="en-US" w:eastAsia="zh-CN"/>
            </w:rPr>
            <w:t>26</w:t>
          </w:r>
          <w:r>
            <w:rPr>
              <w:b/>
              <w:szCs w:val="16"/>
            </w:rPr>
            <w:t>, G/TBT/N/TZA/136</w:t>
          </w:r>
          <w:r>
            <w:rPr>
              <w:rFonts w:hint="eastAsia" w:eastAsia="宋体"/>
              <w:b/>
              <w:szCs w:val="16"/>
              <w:lang w:val="en-US" w:eastAsia="zh-CN"/>
            </w:rPr>
            <w:t>8</w:t>
          </w:r>
          <w:r>
            <w:rPr>
              <w:b/>
              <w:szCs w:val="16"/>
            </w:rPr>
            <w:t>, G/TBT/N/UGA/21</w:t>
          </w:r>
          <w:bookmarkEnd w:id="1"/>
          <w:r>
            <w:rPr>
              <w:rFonts w:hint="eastAsia" w:eastAsia="宋体"/>
              <w:b/>
              <w:szCs w:val="16"/>
              <w:lang w:val="en-US" w:eastAsia="zh-CN"/>
            </w:rPr>
            <w:t>82</w:t>
          </w:r>
        </w:p>
      </w:tc>
    </w:tr>
    <w:tr w14:paraId="386445B3">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34CD125"/>
      </w:tc>
      <w:tc>
        <w:tcPr>
          <w:tcW w:w="5448" w:type="dxa"/>
          <w:gridSpan w:val="2"/>
          <w:shd w:val="clear" w:color="auto" w:fill="FFFFFF"/>
          <w:tcMar>
            <w:left w:w="108" w:type="dxa"/>
            <w:right w:w="108" w:type="dxa"/>
          </w:tcMar>
          <w:vAlign w:val="center"/>
        </w:tcPr>
        <w:p w14:paraId="4500525B">
          <w:pPr>
            <w:jc w:val="right"/>
            <w:rPr>
              <w:szCs w:val="16"/>
            </w:rPr>
          </w:pPr>
          <w:bookmarkStart w:id="2" w:name="spsDateDistribution"/>
          <w:bookmarkStart w:id="3" w:name="bmkDate"/>
          <w:r>
            <w:rPr>
              <w:rFonts w:hint="eastAsia" w:eastAsia="宋体"/>
              <w:szCs w:val="16"/>
              <w:lang w:val="en-US" w:eastAsia="zh-CN"/>
            </w:rPr>
            <w:t>4</w:t>
          </w:r>
          <w:r>
            <w:rPr>
              <w:szCs w:val="16"/>
            </w:rPr>
            <w:t xml:space="preserve"> July 2025</w:t>
          </w:r>
          <w:bookmarkEnd w:id="2"/>
          <w:bookmarkEnd w:id="3"/>
        </w:p>
      </w:tc>
    </w:tr>
    <w:tr w14:paraId="4A534AE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9D2B94B">
          <w:pPr>
            <w:jc w:val="left"/>
            <w:rPr>
              <w:b/>
            </w:rPr>
          </w:pPr>
          <w:bookmarkStart w:id="4" w:name="bmkSerial"/>
          <w:r>
            <w:rPr>
              <w:b w:val="0"/>
              <w:color w:val="FF0000"/>
            </w:rPr>
            <w:t>(25-4</w:t>
          </w:r>
          <w:r>
            <w:rPr>
              <w:rFonts w:hint="eastAsia" w:eastAsia="宋体"/>
              <w:b w:val="0"/>
              <w:color w:val="FF0000"/>
              <w:lang w:val="en-US" w:eastAsia="zh-CN"/>
            </w:rPr>
            <w:t>351</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41B6736">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rFonts w:hint="eastAsia" w:eastAsia="宋体"/>
              <w:bCs/>
              <w:szCs w:val="16"/>
              <w:lang w:val="en-US" w:eastAsia="zh-CN"/>
            </w:rPr>
            <w:t>2</w:t>
          </w:r>
          <w:bookmarkEnd w:id="5"/>
        </w:p>
      </w:tc>
    </w:tr>
    <w:tr w14:paraId="16B72284">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86E246F">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478BB5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AB3E0B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64A6A"/>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C2FFC"/>
    <w:rsid w:val="009D1D8C"/>
    <w:rsid w:val="009D1FF8"/>
    <w:rsid w:val="009E75ED"/>
    <w:rsid w:val="009F1F2F"/>
    <w:rsid w:val="009F21A8"/>
    <w:rsid w:val="00A04DCD"/>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088E"/>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55D1"/>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3D19"/>
    <w:rsid w:val="00E969D2"/>
    <w:rsid w:val="00EA5D4F"/>
    <w:rsid w:val="00EB6C56"/>
    <w:rsid w:val="00ED54E0"/>
    <w:rsid w:val="00ED66D3"/>
    <w:rsid w:val="00EE26D8"/>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D04741C"/>
    <w:rsid w:val="117E40CF"/>
    <w:rsid w:val="11866F89"/>
    <w:rsid w:val="1DFC1901"/>
    <w:rsid w:val="24A00ED0"/>
    <w:rsid w:val="2F90153F"/>
    <w:rsid w:val="5E090DD9"/>
    <w:rsid w:val="622D66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422</Words>
  <Characters>2560</Characters>
  <Lines>38</Lines>
  <Paragraphs>10</Paragraphs>
  <TotalTime>0</TotalTime>
  <ScaleCrop>false</ScaleCrop>
  <LinksUpToDate>false</LinksUpToDate>
  <CharactersWithSpaces>2937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2025-06-19T15:22:00Z</dcterms:created>
  <dc:creator>mark louie medidas</dc:creator>
  <dc:description>LDIMD - DTU</dc:description>
  <cp:lastModifiedBy> 譞譞</cp:lastModifiedBy>
  <dcterms:modified xsi:type="dcterms:W3CDTF">2025-07-06T15:43:53Z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3CC2A9CF37E3420B8A9EA272AF224311_12</vt:lpwstr>
  </property>
</Properties>
</file>