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Undenatured ethyl alcohol of an alcoholic strength of &lt; 80%; spirits, liqueurs and other spirituous beverages (excl. compound alcoholic preparations of a kind used for the manufacture of beverages) (HS code(s): 2208);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770DCE0F">
            <w:pPr>
              <w:spacing w:before="120" w:after="120"/>
            </w:pPr>
            <w:r>
              <w:rPr>
                <w:b/>
              </w:rPr>
              <w:t>Title, number of pages and language(s) of the notified document:</w:t>
            </w:r>
            <w:r>
              <w:t xml:space="preserve"> DEAS 1276:2025 Alcoholic mixed beverages — Specification; (12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 Standard specifies the requirements, sampling and test methods for alcoholic mixed beverages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3687F643">
            <w:pPr>
              <w:numPr>
                <w:ilvl w:val="0"/>
                <w:numId w:val="7"/>
              </w:numPr>
              <w:spacing w:before="120" w:after="120"/>
            </w:pPr>
            <w:r>
              <w:t>CAC/GL 66, Guidelines for the use of flavourings</w:t>
            </w:r>
          </w:p>
          <w:p w14:paraId="18FF464D">
            <w:pPr>
              <w:numPr>
                <w:ilvl w:val="0"/>
                <w:numId w:val="7"/>
              </w:numPr>
              <w:spacing w:before="120" w:after="120"/>
            </w:pPr>
            <w:r>
              <w:t>CAC/MRL 2, Maximum Residue Limits (MRLs) and Risk Management Recommendations (RMRs) for residues of veterinary drugs in foods</w:t>
            </w:r>
          </w:p>
          <w:p w14:paraId="1438C946">
            <w:pPr>
              <w:numPr>
                <w:ilvl w:val="0"/>
                <w:numId w:val="7"/>
              </w:numPr>
              <w:spacing w:before="120" w:after="120"/>
            </w:pPr>
            <w:r>
              <w:t>EAS 39, General principles of food Hygiene</w:t>
            </w:r>
          </w:p>
          <w:p w14:paraId="618E38FA">
            <w:pPr>
              <w:numPr>
                <w:ilvl w:val="0"/>
                <w:numId w:val="7"/>
              </w:numPr>
              <w:spacing w:before="120" w:after="120"/>
            </w:pPr>
            <w:r>
              <w:t>EAS 217-1, Methods for microbiological examination of foods — Part 1: General procedures and techniques</w:t>
            </w:r>
          </w:p>
          <w:p w14:paraId="282CB1A7">
            <w:pPr>
              <w:numPr>
                <w:ilvl w:val="0"/>
                <w:numId w:val="7"/>
              </w:numPr>
              <w:spacing w:before="120" w:after="120"/>
            </w:pPr>
            <w:r>
              <w:t>EAS 12, Potable water — Specification</w:t>
            </w:r>
          </w:p>
          <w:p w14:paraId="55A81D8C">
            <w:pPr>
              <w:numPr>
                <w:ilvl w:val="0"/>
                <w:numId w:val="7"/>
              </w:numPr>
              <w:spacing w:before="120" w:after="120"/>
            </w:pPr>
            <w:r>
              <w:t>EAS 38, Labelling of pre-packaged foods — General requirements</w:t>
            </w:r>
          </w:p>
          <w:p w14:paraId="2D826172">
            <w:pPr>
              <w:numPr>
                <w:ilvl w:val="0"/>
                <w:numId w:val="7"/>
              </w:numPr>
              <w:spacing w:before="120" w:after="120"/>
            </w:pPr>
            <w:r>
              <w:t>EAS 104, Alcoholic beverages — Methods of sampling and test</w:t>
            </w:r>
          </w:p>
          <w:p w14:paraId="7DE1273B">
            <w:pPr>
              <w:numPr>
                <w:ilvl w:val="0"/>
                <w:numId w:val="7"/>
              </w:numPr>
              <w:spacing w:before="120" w:after="120"/>
            </w:pPr>
            <w:r>
              <w:t>EAS 109, Potable spirit — Specification</w:t>
            </w:r>
          </w:p>
          <w:p w14:paraId="41AAF3F3">
            <w:pPr>
              <w:numPr>
                <w:ilvl w:val="0"/>
                <w:numId w:val="7"/>
              </w:numPr>
              <w:spacing w:before="120" w:after="120"/>
            </w:pPr>
            <w:r>
              <w:t>EAS 144, Neutral spirit — Specification</w:t>
            </w:r>
          </w:p>
          <w:p w14:paraId="565D924F">
            <w:pPr>
              <w:numPr>
                <w:ilvl w:val="0"/>
                <w:numId w:val="7"/>
              </w:numPr>
              <w:spacing w:before="120" w:after="120"/>
            </w:pPr>
            <w:r>
              <w:t>ISO 4832, Microbiology of food and animal feeding stuffs — Horizontal method for the enumeration of coliforms — Colony-count technique</w:t>
            </w:r>
          </w:p>
          <w:p w14:paraId="5EC2C327">
            <w:pPr>
              <w:numPr>
                <w:ilvl w:val="0"/>
                <w:numId w:val="7"/>
              </w:numPr>
              <w:spacing w:before="120" w:after="120"/>
            </w:pPr>
            <w:r>
              <w:t>ISO 4833-1, Microbiology of the food chain — Horizontal method for the enumeration of microorganisms —Part 1: Colony count at 30 °C by the pour plate technique</w:t>
            </w:r>
          </w:p>
          <w:p w14:paraId="70C5A2EE">
            <w:pPr>
              <w:numPr>
                <w:ilvl w:val="0"/>
                <w:numId w:val="7"/>
              </w:numPr>
              <w:spacing w:before="120" w:after="120"/>
            </w:pPr>
            <w:r>
              <w:t>CXS 192, General standard for food additives</w:t>
            </w:r>
          </w:p>
          <w:p w14:paraId="690876A6">
            <w:pPr>
              <w:numPr>
                <w:ilvl w:val="0"/>
                <w:numId w:val="7"/>
              </w:numPr>
              <w:spacing w:before="120" w:after="120"/>
            </w:pPr>
            <w:r>
              <w:t>EAS 149, Carbon dioxide for use in manufacture of beverages — Part 1: Specifications</w:t>
            </w:r>
          </w:p>
          <w:p w14:paraId="7C76CAED">
            <w:pPr>
              <w:numPr>
                <w:ilvl w:val="0"/>
                <w:numId w:val="0"/>
              </w:numPr>
              <w:spacing w:before="120" w:after="120"/>
            </w:pPr>
            <w:r>
              <w:t>CXS 193, General standard for contaminants and toxins in food and feed Materials in contact with food — Requirements for packaging materials</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bookmarkStart w:id="10" w:name="_GoBack"/>
            <w:bookmarkEnd w:id="10"/>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"https://members.wto.org/crnattachments/2025/TBT/KEN/25_04380_00_e.pdf" \t "_blank" </w:instrText>
            </w:r>
            <w:r>
              <w:fldChar w:fldCharType="separate"/>
            </w:r>
            <w:r>
              <w:rPr>
                <w:iCs/>
                <w:color w:val="0000FF"/>
                <w:u w:val="single"/>
              </w:rPr>
              <w:t>https://members.wto.org/crnattachments/2025/TBT/KEN/25_04380_00_e.pdf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25</w:t>
          </w:r>
          <w:r>
            <w:rPr>
              <w:b/>
              <w:szCs w:val="16"/>
            </w:rPr>
            <w:t>, G/TBT/N/KEN/18</w:t>
          </w:r>
          <w:r>
            <w:rPr>
              <w:rFonts w:hint="eastAsia" w:eastAsia="宋体"/>
              <w:b/>
              <w:szCs w:val="16"/>
              <w:lang w:val="en-US" w:eastAsia="zh-CN"/>
            </w:rPr>
            <w:t>25</w:t>
          </w:r>
          <w:r>
            <w:rPr>
              <w:b/>
              <w:szCs w:val="16"/>
            </w:rPr>
            <w:t>, G/TBT/N/RWA/12</w:t>
          </w:r>
          <w:r>
            <w:rPr>
              <w:rFonts w:hint="eastAsia" w:eastAsia="宋体"/>
              <w:b/>
              <w:szCs w:val="16"/>
              <w:lang w:val="en-US" w:eastAsia="zh-CN"/>
            </w:rPr>
            <w:t>24</w:t>
          </w:r>
          <w:r>
            <w:rPr>
              <w:b/>
              <w:szCs w:val="16"/>
            </w:rPr>
            <w:t>, G/TBT/N/TZA/136</w:t>
          </w:r>
          <w:r>
            <w:rPr>
              <w:rFonts w:hint="eastAsia" w:eastAsia="宋体"/>
              <w:b/>
              <w:szCs w:val="16"/>
              <w:lang w:val="en-US" w:eastAsia="zh-CN"/>
            </w:rPr>
            <w:t>6</w:t>
          </w:r>
          <w:r>
            <w:rPr>
              <w:b/>
              <w:szCs w:val="16"/>
            </w:rPr>
            <w:t>, G/TBT/N/UGA/21</w:t>
          </w:r>
          <w:bookmarkEnd w:id="1"/>
          <w:r>
            <w:rPr>
              <w:rFonts w:hint="eastAsia" w:eastAsia="宋体"/>
              <w:b/>
              <w:szCs w:val="16"/>
              <w:lang w:val="en-US" w:eastAsia="zh-CN"/>
            </w:rPr>
            <w:t>80</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354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5E090DD9"/>
    <w:rsid w:val="622D6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389</Words>
  <Characters>2247</Characters>
  <Lines>38</Lines>
  <Paragraphs>10</Paragraphs>
  <TotalTime>0</TotalTime>
  <ScaleCrop>false</ScaleCrop>
  <LinksUpToDate>false</LinksUpToDate>
  <CharactersWithSpaces>2600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2025-07-06T15:36:40Z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