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647B9">
      <w:pPr>
        <w:pStyle w:val="84"/>
        <w:rPr>
          <w:caps w:val="0"/>
          <w:kern w:val="0"/>
        </w:rPr>
      </w:pPr>
      <w:r>
        <w:rPr>
          <w:caps w:val="0"/>
          <w:kern w:val="0"/>
        </w:rPr>
        <w:t>NOTIFICATION</w:t>
      </w:r>
    </w:p>
    <w:p w14:paraId="228A7893">
      <w:pPr>
        <w:jc w:val="center"/>
      </w:pPr>
      <w:r>
        <w:t>The following notification is being circulated in accordance with Article 10.6</w:t>
      </w:r>
    </w:p>
    <w:p w14:paraId="3540564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A1669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0039AD98">
            <w:pPr>
              <w:spacing w:before="120" w:after="120"/>
              <w:jc w:val="left"/>
            </w:pPr>
            <w:r>
              <w:rPr>
                <w:b/>
              </w:rPr>
              <w:t>1.</w:t>
            </w:r>
          </w:p>
        </w:tc>
        <w:tc>
          <w:tcPr>
            <w:tcW w:w="8546" w:type="dxa"/>
            <w:tcBorders>
              <w:bottom w:val="single" w:color="auto" w:sz="6" w:space="0"/>
            </w:tcBorders>
            <w:shd w:val="clear" w:color="auto" w:fill="auto"/>
          </w:tcPr>
          <w:p w14:paraId="3FC5599D">
            <w:pPr>
              <w:spacing w:before="120" w:after="120"/>
            </w:pPr>
            <w:r>
              <w:rPr>
                <w:b/>
              </w:rPr>
              <w:t>Notifying Member:</w:t>
            </w:r>
            <w:r>
              <w:t xml:space="preserve"> </w:t>
            </w:r>
            <w:r>
              <w:rPr>
                <w:u w:val="single"/>
              </w:rPr>
              <w:t>AUSTRALIA</w:t>
            </w:r>
          </w:p>
          <w:p w14:paraId="110BBB20">
            <w:pPr>
              <w:spacing w:after="120"/>
            </w:pPr>
            <w:r>
              <w:rPr>
                <w:b/>
              </w:rPr>
              <w:t>If applicable, name of local government involved (Article 3.2 and 7.2):</w:t>
            </w:r>
            <w:r>
              <w:t xml:space="preserve"> </w:t>
            </w:r>
          </w:p>
        </w:tc>
      </w:tr>
      <w:tr w14:paraId="7C21FC0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8D59544">
            <w:pPr>
              <w:spacing w:before="120" w:after="120"/>
              <w:jc w:val="left"/>
            </w:pPr>
            <w:r>
              <w:rPr>
                <w:b/>
              </w:rPr>
              <w:t>2.</w:t>
            </w:r>
          </w:p>
        </w:tc>
        <w:tc>
          <w:tcPr>
            <w:tcW w:w="8546" w:type="dxa"/>
            <w:tcBorders>
              <w:top w:val="single" w:color="auto" w:sz="6" w:space="0"/>
              <w:bottom w:val="single" w:color="auto" w:sz="6" w:space="0"/>
            </w:tcBorders>
            <w:shd w:val="clear" w:color="auto" w:fill="auto"/>
          </w:tcPr>
          <w:p w14:paraId="54CC222D">
            <w:pPr>
              <w:spacing w:before="120" w:after="120"/>
            </w:pPr>
            <w:r>
              <w:rPr>
                <w:b/>
              </w:rPr>
              <w:t>Agency responsible:</w:t>
            </w:r>
            <w:r>
              <w:t xml:space="preserve"> </w:t>
            </w:r>
          </w:p>
          <w:p w14:paraId="36BE7A43">
            <w:r>
              <w:t>Therapeutic Goods Administration</w:t>
            </w:r>
          </w:p>
          <w:p w14:paraId="4E00E49C">
            <w:pPr>
              <w:spacing w:after="120"/>
            </w:pPr>
            <w:r>
              <w:t>Department of Health, Disability and Ageing</w:t>
            </w:r>
          </w:p>
          <w:p w14:paraId="1634A17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071D12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ECDCD04">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83EE8B1">
            <w:pPr>
              <w:spacing w:before="120" w:after="120"/>
            </w:pPr>
            <w:r>
              <w:rPr>
                <w:b/>
              </w:rPr>
              <w:t>Notified under Article 2.9.2 [X], 2.10.1 [ ], 5.6.2 [ ], 5.7.1 [ ], 3.2 [ ], 7.2 [ ], other:</w:t>
            </w:r>
            <w:r>
              <w:t xml:space="preserve"> </w:t>
            </w:r>
          </w:p>
        </w:tc>
      </w:tr>
      <w:tr w14:paraId="0A4C92D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709829">
            <w:pPr>
              <w:spacing w:before="120" w:after="120"/>
              <w:jc w:val="left"/>
            </w:pPr>
            <w:r>
              <w:rPr>
                <w:b/>
              </w:rPr>
              <w:t>4.</w:t>
            </w:r>
          </w:p>
        </w:tc>
        <w:tc>
          <w:tcPr>
            <w:tcW w:w="8546" w:type="dxa"/>
            <w:tcBorders>
              <w:top w:val="single" w:color="auto" w:sz="6" w:space="0"/>
              <w:bottom w:val="single" w:color="auto" w:sz="6" w:space="0"/>
            </w:tcBorders>
            <w:shd w:val="clear" w:color="auto" w:fill="auto"/>
          </w:tcPr>
          <w:p w14:paraId="7F8A2712">
            <w:pPr>
              <w:spacing w:before="120" w:after="120"/>
            </w:pPr>
            <w:r>
              <w:rPr>
                <w:b/>
              </w:rPr>
              <w:t>Products covered (HS or CCCN where applicable, otherwise national tariff heading. ICS numbers may be provided in addition, where applicable):</w:t>
            </w:r>
            <w:r>
              <w:t xml:space="preserve"> </w:t>
            </w:r>
          </w:p>
          <w:p w14:paraId="7E89DF68">
            <w:pPr>
              <w:numPr>
                <w:numId w:val="0"/>
              </w:numPr>
              <w:spacing w:before="120" w:after="120"/>
              <w:ind w:left="360" w:leftChars="0"/>
            </w:pPr>
            <w:r>
              <w:t>PHARMACEUTICAL PRODUCTS (HS code(s): 30)</w:t>
            </w:r>
          </w:p>
        </w:tc>
      </w:tr>
      <w:tr w14:paraId="287EF6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6AA17E6">
            <w:pPr>
              <w:spacing w:before="120" w:after="120"/>
              <w:jc w:val="left"/>
            </w:pPr>
            <w:r>
              <w:rPr>
                <w:b/>
              </w:rPr>
              <w:t>5.</w:t>
            </w:r>
          </w:p>
        </w:tc>
        <w:tc>
          <w:tcPr>
            <w:tcW w:w="8546" w:type="dxa"/>
            <w:tcBorders>
              <w:top w:val="single" w:color="auto" w:sz="6" w:space="0"/>
              <w:bottom w:val="single" w:color="auto" w:sz="6" w:space="0"/>
            </w:tcBorders>
            <w:shd w:val="clear" w:color="auto" w:fill="auto"/>
          </w:tcPr>
          <w:p w14:paraId="1182626E">
            <w:pPr>
              <w:spacing w:before="120" w:after="120"/>
            </w:pPr>
            <w:r>
              <w:rPr>
                <w:b/>
              </w:rPr>
              <w:t>Title, number of pages and language(s) of the notified document:</w:t>
            </w:r>
            <w:r>
              <w:t xml:space="preserve"> Proposed Amendment to Therapeutic Goods (Manufacturing Principles) Determination 2020 to adopt Version 17 of Pharmaceutical Inspection Co-operation Scheme Guide to Good Manufacturing Practice for Medicinal Products, 25 August 2023, PE-009- 17; (15 page(s), in English)</w:t>
            </w:r>
          </w:p>
        </w:tc>
      </w:tr>
      <w:tr w14:paraId="3C6294F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9B6C8A2">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596B2BD0">
            <w:pPr>
              <w:spacing w:before="120" w:after="120"/>
            </w:pPr>
            <w:r>
              <w:rPr>
                <w:b/>
              </w:rPr>
              <w:t>Description of content:</w:t>
            </w:r>
            <w:r>
              <w:t xml:space="preserve"> The Therapeutic Goods Administration (TGA) administers Australia's regulatory framework for the quality, safety and efficacy of therapeutic goods in Australia.</w:t>
            </w:r>
          </w:p>
          <w:p w14:paraId="7F7CA6CC">
            <w:pPr>
              <w:spacing w:before="120" w:after="120"/>
            </w:pPr>
            <w:r>
              <w:t>There are provisions under the Therapeutic Goods Act 1989 (the Act) to establish Manufacturing Principles that are to be applied in the manufacture of therapeutic goods. The Therapeutic Goods (Manufacturing Principles) Determination 2020 (the Determination) is the legislative instrument that specifies the manufacture of therapeutic goods must comply with the applicable procedures and requirements in the Pharmaceutical Inspection Co-operation Scheme (PIC/S) Guide to Good Manufacturing Practice (GMP).</w:t>
            </w:r>
          </w:p>
          <w:p w14:paraId="6C17D0F3">
            <w:pPr>
              <w:spacing w:before="120" w:after="120"/>
            </w:pPr>
            <w:r>
              <w:t>As a PIC/S member, Australia is expected to adopt and enforce the latest revisions to the GMP guide to achieve international harmonisation between member countries. Adoption of the PIC/S Guide to GMP as Australia's Manufacturing Principles negates the need for Australian-specific standards, facilitates international trade and supports our international reputation. The TGA is proposing to amend the Determination to adopt version 17 of the PIC/s Guide to GMP except for Annexes 4, 5 and 14 as the manufacturing principles and register the amended Determination on the Federal Register of Legislation in September 2025.</w:t>
            </w:r>
          </w:p>
          <w:p w14:paraId="68B7E965">
            <w:pPr>
              <w:spacing w:before="120" w:after="120"/>
            </w:pPr>
            <w:r>
              <w:t>The adoption of an internationally harmonised standard minimises regulatory burden for companies involved in the manufacture, import and export of medicines, facilitating trade and helping to ensure the availability of medicines to the Australian public.</w:t>
            </w:r>
          </w:p>
          <w:p w14:paraId="76DAEE78">
            <w:pPr>
              <w:spacing w:before="120" w:after="120"/>
            </w:pPr>
            <w:r>
              <w:rPr>
                <w:b/>
                <w:bCs/>
              </w:rPr>
              <w:t xml:space="preserve">Please note: </w:t>
            </w:r>
            <w:r>
              <w:t>The uploaded measure is the current version of the Determination. A legislative instrument will be used to amend the definition of PIC/S Guide to GMP under Section 4 of the Determination to reflect Version 17 except for Annexes 4, 5 and 14.</w:t>
            </w:r>
          </w:p>
        </w:tc>
      </w:tr>
      <w:tr w14:paraId="490668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CF9C7DC">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3D1FAB35">
            <w:pPr>
              <w:spacing w:before="120" w:after="120"/>
            </w:pPr>
            <w:r>
              <w:rPr>
                <w:b/>
              </w:rPr>
              <w:t>Objective and rationale, including the nature of urgent problems where applicable:</w:t>
            </w:r>
            <w:r>
              <w:t xml:space="preserve"> </w:t>
            </w:r>
          </w:p>
          <w:p w14:paraId="55418A01">
            <w:pPr>
              <w:spacing w:before="120" w:after="120"/>
              <w:rPr>
                <w:b/>
              </w:rPr>
            </w:pPr>
            <w:r>
              <w:t>The Determination currently specifies that the manufacture of therapeutic goods must comply with the applicable procedures and requirements in the PIC/S Guide to GMP (PE009-16, 1 February 2022) except for its Annexes 4, 5, and 14.</w:t>
            </w:r>
          </w:p>
          <w:p w14:paraId="4E58213A">
            <w:pPr>
              <w:spacing w:before="120" w:after="120"/>
            </w:pPr>
            <w:r>
              <w:t>The current version of this document is version 17 of the PIC/S Guide to GMP (PE009-17). Australia needs to adopt this version to ensure that the rules regulating the manufacture of therapeutic goods in Australia are equivalent to those adopted by other international regulatory authorities.</w:t>
            </w:r>
          </w:p>
          <w:p w14:paraId="6388ABBC">
            <w:pPr>
              <w:spacing w:before="120" w:after="120"/>
            </w:pPr>
            <w:r>
              <w:t>Failure to adopt version 17 of the PIC/S Guide to GMP (PE-009-17) would lead to inconsistencies between domestic and international manufacturing principles which will lead to a disadvantage for Australian manufacturers wishing to export to overseas markets as well as reputational damage to the Australian manufacturing sector and TGA's international standing; Protection of human health or safety; Quality requirements; Harmonization</w:t>
            </w:r>
          </w:p>
        </w:tc>
      </w:tr>
      <w:tr w14:paraId="789F58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5DCF84B">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92E1B4E">
            <w:pPr>
              <w:spacing w:before="120" w:after="120"/>
              <w:rPr>
                <w:bCs/>
              </w:rPr>
            </w:pPr>
            <w:r>
              <w:rPr>
                <w:b/>
              </w:rPr>
              <w:t>Relevant documents:</w:t>
            </w:r>
            <w:r>
              <w:t xml:space="preserve"> </w:t>
            </w:r>
          </w:p>
          <w:p w14:paraId="6438695C">
            <w:pPr>
              <w:spacing w:before="120" w:after="120"/>
            </w:pPr>
            <w:r>
              <w:t>The Determination will be amended such that the relevant PIC/S Guide to GMP incorporated into the Determination will be version 17. Links to version 17 are provided below:</w:t>
            </w:r>
          </w:p>
          <w:p w14:paraId="632EDD64">
            <w:pPr>
              <w:numPr>
                <w:ilvl w:val="0"/>
                <w:numId w:val="7"/>
              </w:numPr>
              <w:spacing w:before="120" w:after="120"/>
            </w:pPr>
            <w:r>
              <w:t xml:space="preserve">PIC/S GUIDE TO GOOD MANUFACTURING PRACTICE FOR MEDICINAL PRODUCTS PE 009-17 Introduction </w:t>
            </w:r>
            <w:r>
              <w:fldChar w:fldCharType="begin"/>
            </w:r>
            <w:r>
              <w:instrText xml:space="preserve"> HYPERLINK "https://aus01.safelinks.protection.outlook.com/?url=https%3A%2F%2Fpicscheme.org%2Fdocview%2F6605&amp;data=05%7C02%7Ctbt.enquiry%40dfat.gov.au%7C95003290e5c24d4d5c6508ddba99d16f%7C9b7f23b30e8347a58a40ffa8a6fea536%7C0%7C0%7C638871892028181478%7CUnknown%7CTWFpbGZsb3d8eyJFbXB0eU1hcGkiOnRydWUsIlYiOiIwLjAuMDAwMCIsIlAiOiJXaW4zMiIsIkFOIjoiTWFpbCIsIldUIjoyfQ%3D%3D%7C0%7C%7C%7C&amp;sdata=d5XbZTUlivZvbHDcVVX0LfD1wWI3kdSIVEU8fiyjVpE%3D&amp;reserved=0" </w:instrText>
            </w:r>
            <w:r>
              <w:fldChar w:fldCharType="separate"/>
            </w:r>
            <w:r>
              <w:rPr>
                <w:color w:val="0000FF"/>
                <w:u w:val="single"/>
              </w:rPr>
              <w:t>https://picscheme.org/docview/6605</w:t>
            </w:r>
            <w:r>
              <w:rPr>
                <w:color w:val="0000FF"/>
                <w:u w:val="single"/>
              </w:rPr>
              <w:fldChar w:fldCharType="end"/>
            </w:r>
          </w:p>
          <w:p w14:paraId="17F01F8B">
            <w:pPr>
              <w:numPr>
                <w:ilvl w:val="0"/>
                <w:numId w:val="7"/>
              </w:numPr>
              <w:spacing w:before="120" w:after="120"/>
            </w:pPr>
            <w:r>
              <w:t xml:space="preserve">PIC/S GUIDE TO GOOD MANUFACTURING PRACTICE FOR MEDICINAL PRODUCTS PE 009-17 Part I </w:t>
            </w:r>
            <w:r>
              <w:fldChar w:fldCharType="begin"/>
            </w:r>
            <w:r>
              <w:instrText xml:space="preserve"> HYPERLINK "https://aus01.safelinks.protection.outlook.com/?url=https%3A%2F%2Fpicscheme.org%2Fdocview%2F6606&amp;data=05%7C02%7Ctbt.enquiry%40dfat.gov.au%7C95003290e5c24d4d5c6508ddba99d16f%7C9b7f23b30e8347a58a40ffa8a6fea536%7C0%7C0%7C638871892028196973%7CUnknown%7CTWFpbGZsb3d8eyJFbXB0eU1hcGkiOnRydWUsIlYiOiIwLjAuMDAwMCIsIlAiOiJXaW4zMiIsIkFOIjoiTWFpbCIsIldUIjoyfQ%3D%3D%7C0%7C%7C%7C&amp;sdata=qsN%2BQB8idmVpOblivGvG9erR22j8izkRRbYUJbBvzDM%3D&amp;reserved=0" </w:instrText>
            </w:r>
            <w:r>
              <w:fldChar w:fldCharType="separate"/>
            </w:r>
            <w:r>
              <w:rPr>
                <w:color w:val="0000FF"/>
                <w:u w:val="single"/>
              </w:rPr>
              <w:t>https://picscheme.org/docview/6606</w:t>
            </w:r>
            <w:r>
              <w:rPr>
                <w:color w:val="0000FF"/>
                <w:u w:val="single"/>
              </w:rPr>
              <w:fldChar w:fldCharType="end"/>
            </w:r>
          </w:p>
          <w:p w14:paraId="71F6E5A5">
            <w:pPr>
              <w:numPr>
                <w:ilvl w:val="0"/>
                <w:numId w:val="7"/>
              </w:numPr>
              <w:spacing w:before="120" w:after="120"/>
            </w:pPr>
            <w:r>
              <w:t xml:space="preserve">PIC/S GUIDE TO GOOD MANUFACTURING PRACTICE FOR MEDICINAL PRODUCTS PE 009-17 Part II </w:t>
            </w:r>
            <w:r>
              <w:fldChar w:fldCharType="begin"/>
            </w:r>
            <w:r>
              <w:instrText xml:space="preserve"> HYPERLINK "https://aus01.safelinks.protection.outlook.com/?url=https%3A%2F%2Fpicscheme.org%2Fdocview%2F6607&amp;data=05%7C02%7Ctbt.enquiry%40dfat.gov.au%7C95003290e5c24d4d5c6508ddba99d16f%7C9b7f23b30e8347a58a40ffa8a6fea536%7C0%7C0%7C638871892028211144%7CUnknown%7CTWFpbGZsb3d8eyJFbXB0eU1hcGkiOnRydWUsIlYiOiIwLjAuMDAwMCIsIlAiOiJXaW4zMiIsIkFOIjoiTWFpbCIsIldUIjoyfQ%3D%3D%7C0%7C%7C%7C&amp;sdata=Gtj6iTkenD2%2BM6mHwxoLHDr85Gwn%2BpJ6dic%2BEhaaL7U%3D&amp;reserved=0" </w:instrText>
            </w:r>
            <w:r>
              <w:fldChar w:fldCharType="separate"/>
            </w:r>
            <w:r>
              <w:rPr>
                <w:color w:val="0000FF"/>
                <w:u w:val="single"/>
              </w:rPr>
              <w:t>https://picscheme.org/docview/6607</w:t>
            </w:r>
            <w:r>
              <w:rPr>
                <w:color w:val="0000FF"/>
                <w:u w:val="single"/>
              </w:rPr>
              <w:fldChar w:fldCharType="end"/>
            </w:r>
          </w:p>
          <w:p w14:paraId="3D1665FA">
            <w:pPr>
              <w:numPr>
                <w:ilvl w:val="0"/>
                <w:numId w:val="8"/>
              </w:numPr>
              <w:spacing w:before="120" w:after="120"/>
            </w:pPr>
            <w:r>
              <w:t xml:space="preserve">PIC/S GUIDE TO GOOD MANUFACTURING PRACTICE FOR MEDICINAL PRODUCTS PE 009-17 Annexes </w:t>
            </w:r>
            <w:r>
              <w:fldChar w:fldCharType="begin"/>
            </w:r>
            <w:r>
              <w:instrText xml:space="preserve"> HYPERLINK "https://picscheme.org/docview/8881" </w:instrText>
            </w:r>
            <w:r>
              <w:fldChar w:fldCharType="separate"/>
            </w:r>
            <w:r>
              <w:rPr>
                <w:color w:val="0000FF"/>
                <w:u w:val="single"/>
              </w:rPr>
              <w:t>https://picscheme.org/docview/8881</w:t>
            </w:r>
            <w:r>
              <w:rPr>
                <w:color w:val="0000FF"/>
                <w:u w:val="single"/>
              </w:rPr>
              <w:fldChar w:fldCharType="end"/>
            </w:r>
            <w:r>
              <w:t xml:space="preserve"> (to be incorporated, with the exception of Annexes 4, 5 and 14.</w:t>
            </w:r>
          </w:p>
        </w:tc>
      </w:tr>
      <w:tr w14:paraId="2A8307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417808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3EB4463">
            <w:pPr>
              <w:spacing w:before="120" w:after="120"/>
            </w:pPr>
            <w:r>
              <w:rPr>
                <w:b/>
              </w:rPr>
              <w:t>Proposed date of adoption:</w:t>
            </w:r>
            <w:r>
              <w:t>1 September 2025; On or before this date.</w:t>
            </w:r>
          </w:p>
          <w:p w14:paraId="0962B33E">
            <w:pPr>
              <w:spacing w:after="120"/>
            </w:pPr>
            <w:r>
              <w:rPr>
                <w:b/>
              </w:rPr>
              <w:t>Proposed date of entry into force:</w:t>
            </w:r>
            <w:r>
              <w:t xml:space="preserve"> 1 September 2025; On or before this date.</w:t>
            </w:r>
          </w:p>
        </w:tc>
      </w:tr>
      <w:tr w14:paraId="1FABEC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FCDFDE2">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C91C7D5">
            <w:pPr>
              <w:spacing w:before="120" w:after="120"/>
            </w:pPr>
            <w:r>
              <w:rPr>
                <w:b/>
              </w:rPr>
              <w:t>Final date for comments:</w:t>
            </w:r>
            <w:r>
              <w:t xml:space="preserve"> 3 August 2025</w:t>
            </w:r>
          </w:p>
        </w:tc>
      </w:tr>
      <w:tr w14:paraId="62AA8EE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1934418">
            <w:pPr>
              <w:keepNext/>
              <w:keepLines/>
              <w:spacing w:before="120" w:after="120"/>
              <w:jc w:val="left"/>
              <w:rPr>
                <w:b/>
              </w:rPr>
            </w:pPr>
            <w:r>
              <w:rPr>
                <w:b/>
              </w:rPr>
              <w:t>11.</w:t>
            </w:r>
          </w:p>
        </w:tc>
        <w:tc>
          <w:tcPr>
            <w:tcW w:w="8546" w:type="dxa"/>
            <w:tcBorders>
              <w:top w:val="single" w:color="auto" w:sz="6" w:space="0"/>
            </w:tcBorders>
            <w:shd w:val="clear" w:color="auto" w:fill="auto"/>
          </w:tcPr>
          <w:p w14:paraId="29A81553">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27FE1B7C">
            <w:r>
              <w:t>WTO TBT Enquiry Point</w:t>
            </w:r>
          </w:p>
          <w:p w14:paraId="5A711FC3">
            <w:r>
              <w:t>Office of Global Trade Negotiations</w:t>
            </w:r>
          </w:p>
          <w:p w14:paraId="40DC7320">
            <w:r>
              <w:t>Department of Foreign Affairs and Trade</w:t>
            </w:r>
          </w:p>
          <w:p w14:paraId="6439730E">
            <w:r>
              <w:t>Canberra</w:t>
            </w:r>
          </w:p>
          <w:p w14:paraId="0AFFD786">
            <w:r>
              <w:t>Tel: +(61) 2 6261 1111</w:t>
            </w:r>
          </w:p>
          <w:p w14:paraId="13FBF7B0">
            <w:r>
              <w:t xml:space="preserve">Email: </w:t>
            </w:r>
            <w:r>
              <w:fldChar w:fldCharType="begin"/>
            </w:r>
            <w:r>
              <w:instrText xml:space="preserve"> HYPERLINK "mailto:tbt.enquiry@dfat.gov.au" </w:instrText>
            </w:r>
            <w:r>
              <w:fldChar w:fldCharType="separate"/>
            </w:r>
            <w:r>
              <w:rPr>
                <w:color w:val="0000FF"/>
                <w:u w:val="single"/>
              </w:rPr>
              <w:t>tbt.enquiry@dfat.gov.au</w:t>
            </w:r>
            <w:r>
              <w:rPr>
                <w:color w:val="0000FF"/>
                <w:u w:val="single"/>
              </w:rPr>
              <w:fldChar w:fldCharType="end"/>
            </w:r>
          </w:p>
          <w:p w14:paraId="169A6792">
            <w:pPr>
              <w:keepNext/>
              <w:keepLines/>
              <w:spacing w:before="120" w:after="120"/>
              <w:rPr>
                <w:bCs/>
              </w:rPr>
            </w:pPr>
            <w:r>
              <w:t xml:space="preserve">Website: </w:t>
            </w:r>
            <w:r>
              <w:fldChar w:fldCharType="begin"/>
            </w:r>
            <w:r>
              <w:instrText xml:space="preserve"> HYPERLINK "https://www.dfat.gov.au/" \t "_blank" </w:instrText>
            </w:r>
            <w:r>
              <w:fldChar w:fldCharType="separate"/>
            </w:r>
            <w:r>
              <w:rPr>
                <w:color w:val="0000FF"/>
                <w:u w:val="single"/>
              </w:rPr>
              <w:t>https://www.dfat.gov.au/</w:t>
            </w:r>
            <w:r>
              <w:rPr>
                <w:color w:val="0000FF"/>
                <w:u w:val="single"/>
              </w:rPr>
              <w:fldChar w:fldCharType="end"/>
            </w:r>
            <w:bookmarkStart w:id="10" w:name="_GoBack"/>
            <w:bookmarkEnd w:id="10"/>
          </w:p>
          <w:p w14:paraId="56FDD393">
            <w:pPr>
              <w:keepNext/>
              <w:keepLines/>
              <w:spacing w:after="120"/>
              <w:rPr>
                <w:bCs/>
              </w:rPr>
            </w:pPr>
            <w:r>
              <w:fldChar w:fldCharType="begin"/>
            </w:r>
            <w:r>
              <w:instrText xml:space="preserve"> HYPERLINK "https://members.wto.org/crnattachments/2025/TBT/AUS/25_04432_00_e.pdf" \t "_blank" </w:instrText>
            </w:r>
            <w:r>
              <w:fldChar w:fldCharType="separate"/>
            </w:r>
            <w:r>
              <w:rPr>
                <w:iCs/>
                <w:color w:val="0000FF"/>
                <w:u w:val="single"/>
              </w:rPr>
              <w:t>https://members.wto.org/crnattachments/2025/TBT/AUS/25_04432_00_e.pdf</w:t>
            </w:r>
            <w:r>
              <w:rPr>
                <w:iCs/>
                <w:color w:val="0000FF"/>
                <w:u w:val="single"/>
              </w:rPr>
              <w:fldChar w:fldCharType="end"/>
            </w:r>
          </w:p>
        </w:tc>
      </w:tr>
    </w:tbl>
    <w:p w14:paraId="443958AF"/>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9A2F3">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4CF3">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7E32C">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64B61">
    <w:pPr>
      <w:pStyle w:val="58"/>
      <w:pBdr>
        <w:bottom w:val="single" w:color="auto" w:sz="4" w:space="1"/>
      </w:pBdr>
      <w:tabs>
        <w:tab w:val="clear" w:pos="4513"/>
        <w:tab w:val="clear" w:pos="9027"/>
      </w:tabs>
      <w:jc w:val="center"/>
    </w:pPr>
    <w:bookmarkStart w:id="0" w:name="spsSymbolHeader"/>
    <w:r>
      <w:t>G/TBT/N/AUS/181</w:t>
    </w:r>
    <w:bookmarkEnd w:id="0"/>
  </w:p>
  <w:p w14:paraId="7806BACD">
    <w:pPr>
      <w:pStyle w:val="58"/>
      <w:pBdr>
        <w:bottom w:val="single" w:color="auto" w:sz="4" w:space="1"/>
      </w:pBdr>
      <w:tabs>
        <w:tab w:val="clear" w:pos="4513"/>
        <w:tab w:val="clear" w:pos="9027"/>
      </w:tabs>
      <w:jc w:val="center"/>
    </w:pPr>
  </w:p>
  <w:p w14:paraId="3539404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063127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E724A">
    <w:pPr>
      <w:pStyle w:val="58"/>
      <w:pBdr>
        <w:bottom w:val="single" w:color="auto" w:sz="4" w:space="1"/>
      </w:pBdr>
      <w:tabs>
        <w:tab w:val="clear" w:pos="4513"/>
        <w:tab w:val="clear" w:pos="9027"/>
      </w:tabs>
      <w:jc w:val="center"/>
    </w:pPr>
    <w:r>
      <w:t>tbtSymbol</w:t>
    </w:r>
  </w:p>
  <w:p w14:paraId="36134179">
    <w:pPr>
      <w:pStyle w:val="58"/>
      <w:pBdr>
        <w:bottom w:val="single" w:color="auto" w:sz="4" w:space="1"/>
      </w:pBdr>
      <w:tabs>
        <w:tab w:val="clear" w:pos="4513"/>
        <w:tab w:val="clear" w:pos="9027"/>
      </w:tabs>
      <w:jc w:val="center"/>
    </w:pPr>
  </w:p>
  <w:p w14:paraId="1BC3887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756F7F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6E9F6B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EAB070E">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423A7010">
          <w:pPr>
            <w:jc w:val="right"/>
            <w:rPr>
              <w:b/>
              <w:color w:val="FF0000"/>
              <w:szCs w:val="16"/>
            </w:rPr>
          </w:pPr>
        </w:p>
      </w:tc>
    </w:tr>
    <w:bookmarkEnd w:id="1"/>
    <w:tr w14:paraId="5CA3D4EC">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8A9DF2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7E3E3B7">
          <w:pPr>
            <w:jc w:val="right"/>
            <w:rPr>
              <w:b/>
              <w:szCs w:val="16"/>
            </w:rPr>
          </w:pPr>
        </w:p>
      </w:tc>
    </w:tr>
    <w:tr w14:paraId="02C4AE14">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42C3BBA">
          <w:pPr>
            <w:jc w:val="left"/>
            <w:rPr>
              <w:lang w:eastAsia="en-GB"/>
            </w:rPr>
          </w:pPr>
        </w:p>
      </w:tc>
      <w:tc>
        <w:tcPr>
          <w:tcW w:w="5448" w:type="dxa"/>
          <w:gridSpan w:val="2"/>
          <w:shd w:val="clear" w:color="auto" w:fill="FFFFFF"/>
          <w:tcMar>
            <w:left w:w="108" w:type="dxa"/>
            <w:right w:w="108" w:type="dxa"/>
          </w:tcMar>
        </w:tcPr>
        <w:p w14:paraId="7FFC07D0">
          <w:pPr>
            <w:jc w:val="right"/>
            <w:rPr>
              <w:rFonts w:hint="eastAsia" w:eastAsia="宋体"/>
              <w:b/>
              <w:szCs w:val="16"/>
              <w:lang w:eastAsia="zh-CN"/>
            </w:rPr>
          </w:pPr>
          <w:bookmarkStart w:id="2" w:name="bmkSymbols"/>
          <w:r>
            <w:rPr>
              <w:b/>
              <w:szCs w:val="16"/>
            </w:rPr>
            <w:t>G/TBT/N/AUS/18</w:t>
          </w:r>
          <w:bookmarkEnd w:id="2"/>
          <w:r>
            <w:rPr>
              <w:rFonts w:hint="eastAsia" w:eastAsia="宋体"/>
              <w:b/>
              <w:szCs w:val="16"/>
              <w:lang w:val="en-US" w:eastAsia="zh-CN"/>
            </w:rPr>
            <w:t>2</w:t>
          </w:r>
        </w:p>
      </w:tc>
    </w:tr>
    <w:tr w14:paraId="560C16C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4E56DDF3"/>
      </w:tc>
      <w:tc>
        <w:tcPr>
          <w:tcW w:w="5448" w:type="dxa"/>
          <w:gridSpan w:val="2"/>
          <w:shd w:val="clear" w:color="auto" w:fill="FFFFFF"/>
          <w:tcMar>
            <w:left w:w="108" w:type="dxa"/>
            <w:right w:w="108" w:type="dxa"/>
          </w:tcMar>
          <w:vAlign w:val="center"/>
        </w:tcPr>
        <w:p w14:paraId="758DA551">
          <w:pPr>
            <w:jc w:val="right"/>
            <w:rPr>
              <w:szCs w:val="16"/>
            </w:rPr>
          </w:pPr>
          <w:bookmarkStart w:id="3" w:name="spsDateDistribution"/>
          <w:bookmarkStart w:id="4" w:name="bmkDate"/>
          <w:r>
            <w:rPr>
              <w:szCs w:val="16"/>
            </w:rPr>
            <w:t>4 July 2025</w:t>
          </w:r>
          <w:bookmarkEnd w:id="3"/>
          <w:bookmarkEnd w:id="4"/>
        </w:p>
      </w:tc>
    </w:tr>
    <w:tr w14:paraId="60DF80A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8D39269">
          <w:pPr>
            <w:jc w:val="left"/>
            <w:rPr>
              <w:b/>
            </w:rPr>
          </w:pPr>
          <w:bookmarkStart w:id="5" w:name="bmkSerial"/>
          <w:r>
            <w:rPr>
              <w:b w:val="0"/>
              <w:color w:val="FF0000"/>
            </w:rPr>
            <w:t>(25-</w:t>
          </w:r>
          <w:r>
            <w:rPr>
              <w:rFonts w:hint="eastAsia" w:eastAsia="宋体"/>
              <w:b w:val="0"/>
              <w:color w:val="FF0000"/>
              <w:lang w:val="en-US" w:eastAsia="zh-CN"/>
            </w:rPr>
            <w:t>4349</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57A49B1D">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58C2A085">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95652D6">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7FB4DE57">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3D950454">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7">
    <w:nsid w:val="63D526BF"/>
    <w:multiLevelType w:val="multilevel"/>
    <w:tmpl w:val="63D526BF"/>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C421E"/>
    <w:rsid w:val="008D641C"/>
    <w:rsid w:val="008E372C"/>
    <w:rsid w:val="008E67DC"/>
    <w:rsid w:val="009239F7"/>
    <w:rsid w:val="00933ECA"/>
    <w:rsid w:val="00933EDC"/>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33363"/>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D6D07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647</Words>
  <Characters>4124</Characters>
  <Lines>37</Lines>
  <Paragraphs>10</Paragraphs>
  <TotalTime>0</TotalTime>
  <ScaleCrop>false</ScaleCrop>
  <LinksUpToDate>false</LinksUpToDate>
  <CharactersWithSpaces>4720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2025-05-08T10:45:00Z</dcterms:created>
  <dc:creator>mark louie medidas</dc:creator>
  <dc:description>LDIMD - DTU</dc:description>
  <cp:lastModifiedBy> 譞譞</cp:lastModifiedBy>
  <dcterms:modified xsi:type="dcterms:W3CDTF">2025-07-06T15:25:09Z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3BAA455DAAA84ED4AD976C28E572905C_12</vt:lpwstr>
  </property>
</Properties>
</file>