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5B6F2">
      <w:pPr>
        <w:pStyle w:val="84"/>
        <w:rPr>
          <w:caps w:val="0"/>
          <w:kern w:val="0"/>
        </w:rPr>
      </w:pPr>
      <w:r>
        <w:rPr>
          <w:caps w:val="0"/>
          <w:kern w:val="0"/>
        </w:rPr>
        <w:t>NOTIFICACIÓN</w:t>
      </w:r>
    </w:p>
    <w:p w14:paraId="71D81995">
      <w:pPr>
        <w:jc w:val="center"/>
      </w:pPr>
      <w:r>
        <w:t>Se da traslado de la notificación siguiente de conformidad con el artículo 10.6.</w:t>
      </w:r>
    </w:p>
    <w:p w14:paraId="0A5A67C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08" w:type="dxa"/>
          <w:bottom w:w="0" w:type="dxa"/>
          <w:right w:w="108" w:type="dxa"/>
        </w:tblCellMar>
      </w:tblPr>
      <w:tblGrid>
        <w:gridCol w:w="715"/>
        <w:gridCol w:w="8527"/>
      </w:tblGrid>
      <w:tr w14:paraId="3D0C75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bottom w:val="single" w:color="auto" w:sz="6" w:space="0"/>
            </w:tcBorders>
            <w:shd w:val="clear" w:color="auto" w:fill="auto"/>
          </w:tcPr>
          <w:p w14:paraId="494B566B">
            <w:pPr>
              <w:spacing w:before="120" w:after="120"/>
              <w:rPr>
                <w:b/>
              </w:rPr>
            </w:pPr>
            <w:r>
              <w:rPr>
                <w:b/>
              </w:rPr>
              <w:t>1.</w:t>
            </w:r>
          </w:p>
        </w:tc>
        <w:tc>
          <w:tcPr>
            <w:tcW w:w="8524" w:type="dxa"/>
            <w:tcBorders>
              <w:bottom w:val="single" w:color="auto" w:sz="6" w:space="0"/>
            </w:tcBorders>
            <w:shd w:val="clear" w:color="auto" w:fill="auto"/>
          </w:tcPr>
          <w:p w14:paraId="6A3F11A6">
            <w:pPr>
              <w:spacing w:before="120" w:after="120"/>
            </w:pPr>
            <w:r>
              <w:rPr>
                <w:b/>
              </w:rPr>
              <w:t>Miembro que notifica:</w:t>
            </w:r>
            <w:r>
              <w:t xml:space="preserve"> </w:t>
            </w:r>
            <w:r>
              <w:rPr>
                <w:u w:val="single"/>
              </w:rPr>
              <w:t>PERÚ</w:t>
            </w:r>
          </w:p>
          <w:p w14:paraId="1094F1C9">
            <w:pPr>
              <w:spacing w:after="120"/>
            </w:pPr>
            <w:r>
              <w:rPr>
                <w:b/>
              </w:rPr>
              <w:t>Si procede, nombre del gobierno local de que se trate (artículos 3.2 y 7.2):</w:t>
            </w:r>
            <w:r>
              <w:t xml:space="preserve"> </w:t>
            </w:r>
          </w:p>
        </w:tc>
      </w:tr>
      <w:tr w14:paraId="34BEB5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220E1667">
            <w:pPr>
              <w:spacing w:before="120" w:after="120"/>
              <w:rPr>
                <w:b/>
              </w:rPr>
            </w:pPr>
            <w:r>
              <w:rPr>
                <w:b/>
              </w:rPr>
              <w:t>2.</w:t>
            </w:r>
          </w:p>
        </w:tc>
        <w:tc>
          <w:tcPr>
            <w:tcW w:w="8524" w:type="dxa"/>
            <w:tcBorders>
              <w:top w:val="single" w:color="auto" w:sz="6" w:space="0"/>
              <w:bottom w:val="single" w:color="auto" w:sz="6" w:space="0"/>
            </w:tcBorders>
            <w:shd w:val="clear" w:color="auto" w:fill="auto"/>
          </w:tcPr>
          <w:p w14:paraId="117E241E">
            <w:pPr>
              <w:spacing w:before="120" w:after="120"/>
              <w:rPr>
                <w:bCs/>
              </w:rPr>
            </w:pPr>
            <w:r>
              <w:rPr>
                <w:b/>
              </w:rPr>
              <w:t>Organismo responsable:</w:t>
            </w:r>
            <w:r>
              <w:t xml:space="preserve"> </w:t>
            </w:r>
          </w:p>
          <w:p w14:paraId="55041234">
            <w:r>
              <w:t>Ministerio de la Producción - PRODUCE</w:t>
            </w:r>
          </w:p>
          <w:p w14:paraId="183B3853">
            <w:r>
              <w:t>Calle Uno Oeste N° 60- Urb. Corpac – Lima 27</w:t>
            </w:r>
          </w:p>
          <w:p w14:paraId="32EC7D0E">
            <w:r>
              <w:t>Te; (+51-1)616-2222, Ext. 3130 y 3132</w:t>
            </w:r>
          </w:p>
          <w:p w14:paraId="6F412C09">
            <w:pPr>
              <w:spacing w:after="120"/>
              <w:rPr>
                <w:color w:val="0000FF"/>
                <w:u w:val="single"/>
              </w:rPr>
            </w:pPr>
            <w:r>
              <w:t xml:space="preserve">Email: </w:t>
            </w:r>
            <w:r>
              <w:fldChar w:fldCharType="begin"/>
            </w:r>
            <w:r>
              <w:instrText xml:space="preserve"> HYPERLINK "mailto:dn@produce.gob.pe" </w:instrText>
            </w:r>
            <w:r>
              <w:fldChar w:fldCharType="separate"/>
            </w:r>
            <w:r>
              <w:rPr>
                <w:color w:val="0000FF"/>
                <w:u w:val="single"/>
              </w:rPr>
              <w:t>dn@produce.gob.pe</w:t>
            </w:r>
            <w:r>
              <w:rPr>
                <w:color w:val="0000FF"/>
                <w:u w:val="single"/>
              </w:rPr>
              <w:fldChar w:fldCharType="end"/>
            </w:r>
          </w:p>
          <w:p w14:paraId="1C5645C1">
            <w:pPr>
              <w:spacing w:after="120"/>
            </w:pPr>
            <w:r>
              <w:rPr>
                <w:b/>
              </w:rPr>
              <w:t>Nombre y dirección (incluidos los números de teléfono y de fax, así como las direcciones de correo electrónico y sitios web, en su caso) del organismo o autoridad encargado de la tramitación de observaciones sobre la notificación, en caso de que se trate de un organismo o autoridad diferente:</w:t>
            </w:r>
            <w:r>
              <w:t xml:space="preserve"> </w:t>
            </w:r>
          </w:p>
        </w:tc>
      </w:tr>
      <w:tr w14:paraId="3E3472B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1335DAC5">
            <w:pPr>
              <w:spacing w:before="120" w:after="120"/>
              <w:rPr>
                <w:b/>
              </w:rPr>
            </w:pPr>
            <w:r>
              <w:rPr>
                <w:b/>
              </w:rPr>
              <w:t>3.</w:t>
            </w:r>
          </w:p>
        </w:tc>
        <w:tc>
          <w:tcPr>
            <w:tcW w:w="8524" w:type="dxa"/>
            <w:tcBorders>
              <w:top w:val="single" w:color="auto" w:sz="6" w:space="0"/>
              <w:bottom w:val="single" w:color="auto" w:sz="6" w:space="0"/>
            </w:tcBorders>
            <w:shd w:val="clear" w:color="auto" w:fill="auto"/>
          </w:tcPr>
          <w:p w14:paraId="14167FE0">
            <w:pPr>
              <w:spacing w:before="120" w:after="120"/>
            </w:pPr>
            <w:r>
              <w:rPr>
                <w:b/>
              </w:rPr>
              <w:t>Notificación hecha en virtud del artículo 2.9.2 [</w:t>
            </w:r>
            <w:r>
              <w:rPr>
                <w:rFonts w:hint="eastAsia" w:eastAsia="宋体"/>
                <w:b/>
                <w:lang w:val="en-US" w:eastAsia="zh-CN"/>
              </w:rPr>
              <w:t xml:space="preserve"> </w:t>
            </w:r>
            <w:r>
              <w:rPr>
                <w:b/>
              </w:rPr>
              <w:t>], 2.10.1 [ ], 5.6.2 [X], 5.7.1 [ ], 3.2 [ ], 7.2 [ ], o en virtud de:</w:t>
            </w:r>
            <w:r>
              <w:t xml:space="preserve"> </w:t>
            </w:r>
          </w:p>
        </w:tc>
      </w:tr>
      <w:tr w14:paraId="3EC8EB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7D21B51D">
            <w:pPr>
              <w:spacing w:before="120" w:after="120"/>
              <w:rPr>
                <w:b/>
              </w:rPr>
            </w:pPr>
            <w:r>
              <w:rPr>
                <w:b/>
              </w:rPr>
              <w:t>4.</w:t>
            </w:r>
          </w:p>
        </w:tc>
        <w:tc>
          <w:tcPr>
            <w:tcW w:w="8524" w:type="dxa"/>
            <w:tcBorders>
              <w:top w:val="single" w:color="auto" w:sz="6" w:space="0"/>
              <w:bottom w:val="single" w:color="auto" w:sz="6" w:space="0"/>
            </w:tcBorders>
            <w:shd w:val="clear" w:color="auto" w:fill="auto"/>
          </w:tcPr>
          <w:p w14:paraId="298B6DAF">
            <w:pPr>
              <w:spacing w:before="120" w:after="120"/>
            </w:pPr>
            <w:r>
              <w:rPr>
                <w:b/>
              </w:rPr>
              <w:t>Productos abarcados (partida del SA o de la NCCA cuando corresponda; en otro caso partida del arancel nacional. Podrá indicarse además, cuando proceda, el número de partida de la ICS):</w:t>
            </w:r>
            <w:r>
              <w:t xml:space="preserve"> Todos los productos industriales manufacturados sujetos a reglamentos técnicos</w:t>
            </w:r>
          </w:p>
        </w:tc>
      </w:tr>
      <w:tr w14:paraId="22D4B30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3CEDC356">
            <w:pPr>
              <w:spacing w:before="120" w:after="120"/>
              <w:rPr>
                <w:b/>
              </w:rPr>
            </w:pPr>
            <w:r>
              <w:rPr>
                <w:b/>
              </w:rPr>
              <w:t>5.</w:t>
            </w:r>
          </w:p>
        </w:tc>
        <w:tc>
          <w:tcPr>
            <w:tcW w:w="8524" w:type="dxa"/>
            <w:tcBorders>
              <w:top w:val="single" w:color="auto" w:sz="6" w:space="0"/>
              <w:bottom w:val="single" w:color="auto" w:sz="6" w:space="0"/>
            </w:tcBorders>
            <w:shd w:val="clear" w:color="auto" w:fill="auto"/>
          </w:tcPr>
          <w:p w14:paraId="6059ACA9">
            <w:pPr>
              <w:spacing w:before="120" w:after="120"/>
            </w:pPr>
            <w:r>
              <w:rPr>
                <w:b/>
              </w:rPr>
              <w:t>Título, número de páginas e idioma(s) del documento notificado:</w:t>
            </w:r>
            <w:r>
              <w:t xml:space="preserve">  Proyecto de Decreto Supremo que deroga el Decreto Supremo N° 017-2005-PRODUCE, Decreto Supremo que crea el Registro de Organismos de Evaluación de la Conformidad Autorizados y dicta otras disposiciones; (4 página(s), en español)</w:t>
            </w:r>
          </w:p>
        </w:tc>
      </w:tr>
      <w:tr w14:paraId="76127E7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54E4CB5D">
            <w:pPr>
              <w:spacing w:before="120" w:after="120"/>
              <w:rPr>
                <w:b/>
              </w:rPr>
            </w:pPr>
            <w:r>
              <w:rPr>
                <w:b/>
              </w:rPr>
              <w:t>6.</w:t>
            </w:r>
          </w:p>
        </w:tc>
        <w:tc>
          <w:tcPr>
            <w:tcW w:w="8524" w:type="dxa"/>
            <w:tcBorders>
              <w:top w:val="single" w:color="auto" w:sz="6" w:space="0"/>
              <w:bottom w:val="single" w:color="auto" w:sz="6" w:space="0"/>
            </w:tcBorders>
            <w:shd w:val="clear" w:color="auto" w:fill="auto"/>
          </w:tcPr>
          <w:p w14:paraId="685A94FC">
            <w:pPr>
              <w:spacing w:before="120" w:after="120"/>
            </w:pPr>
            <w:r>
              <w:rPr>
                <w:b/>
              </w:rPr>
              <w:t>Descripción del contenido:</w:t>
            </w:r>
            <w:r>
              <w:t xml:space="preserve"> Proyecto de Decreto Supremo que tiene por objeto derogar el Decreto Supremo N° 017-2005-PRODUCE, que crea el Registro de Organismos de Evaluación de la Conformidad Autorizados y que establece un plazo de adecuación de un año, contado a partir del día siguiente de su publicación, con el fin de que los Organismos de Evaluación de la Conformidad que opten por continuar realizando dicha actividad, obtengan la acreditación correspondiente ante el Instituto Nacional de Calidad.</w:t>
            </w:r>
          </w:p>
        </w:tc>
      </w:tr>
      <w:tr w14:paraId="68E6C8F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3E8A3275">
            <w:pPr>
              <w:spacing w:before="120" w:after="120"/>
              <w:rPr>
                <w:b/>
              </w:rPr>
            </w:pPr>
            <w:r>
              <w:rPr>
                <w:b/>
              </w:rPr>
              <w:t>7.</w:t>
            </w:r>
          </w:p>
        </w:tc>
        <w:tc>
          <w:tcPr>
            <w:tcW w:w="8524" w:type="dxa"/>
            <w:tcBorders>
              <w:top w:val="single" w:color="auto" w:sz="6" w:space="0"/>
              <w:bottom w:val="single" w:color="auto" w:sz="6" w:space="0"/>
            </w:tcBorders>
            <w:shd w:val="clear" w:color="auto" w:fill="auto"/>
          </w:tcPr>
          <w:p w14:paraId="56BE9855">
            <w:pPr>
              <w:spacing w:before="120" w:after="120"/>
            </w:pPr>
            <w:r>
              <w:rPr>
                <w:b/>
              </w:rPr>
              <w:t>Objetivo y razón de ser, incluida, cuando proceda, la naturaleza de los problemas urgentes:</w:t>
            </w:r>
            <w:r>
              <w:t xml:space="preserve"> Protección de la salud o seguridad humanas; Protección del medio ambiente</w:t>
            </w:r>
          </w:p>
        </w:tc>
      </w:tr>
      <w:tr w14:paraId="168E538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78B7E478">
            <w:pPr>
              <w:spacing w:before="120" w:after="120"/>
              <w:rPr>
                <w:b/>
              </w:rPr>
            </w:pPr>
            <w:r>
              <w:rPr>
                <w:b/>
              </w:rPr>
              <w:t>8.</w:t>
            </w:r>
          </w:p>
        </w:tc>
        <w:tc>
          <w:tcPr>
            <w:tcW w:w="8524" w:type="dxa"/>
            <w:tcBorders>
              <w:top w:val="single" w:color="auto" w:sz="6" w:space="0"/>
              <w:bottom w:val="single" w:color="auto" w:sz="6" w:space="0"/>
            </w:tcBorders>
            <w:shd w:val="clear" w:color="auto" w:fill="auto"/>
          </w:tcPr>
          <w:p w14:paraId="41C4D9C3">
            <w:pPr>
              <w:spacing w:before="120" w:after="120"/>
            </w:pPr>
            <w:r>
              <w:rPr>
                <w:b/>
              </w:rPr>
              <w:t>Documentos pertinentes:</w:t>
            </w:r>
            <w:r>
              <w:t xml:space="preserve"> </w:t>
            </w:r>
          </w:p>
          <w:p w14:paraId="4C3ABB82">
            <w:pPr>
              <w:spacing w:before="120" w:after="120"/>
            </w:pPr>
            <w:r>
              <w:t>Crean el Registro de Organismos de Evaluación de la Conformidad Autorizados.</w:t>
            </w:r>
          </w:p>
          <w:p w14:paraId="1E3FBE88">
            <w:pPr>
              <w:numPr>
                <w:numId w:val="0"/>
              </w:numPr>
              <w:spacing w:before="120" w:after="120"/>
            </w:pPr>
            <w:r>
              <w:fldChar w:fldCharType="begin"/>
            </w:r>
            <w:r>
              <w:instrText xml:space="preserve"> HYPERLINK "https://transparencia.produce.gob.pe/images/mype-industria/dgpar/regulaciones-industriales/DS-017-2005-PRODUCE-ROECA.pdf" </w:instrText>
            </w:r>
            <w:r>
              <w:fldChar w:fldCharType="separate"/>
            </w:r>
            <w:r>
              <w:rPr>
                <w:color w:val="0000FF"/>
                <w:u w:val="single"/>
              </w:rPr>
              <w:t>https://transparencia.produce.gob.pe/images/mype-industria/dgpar/regulaciones-industriales/DS-017-2005-PRODUCE-ROECA.pdf</w:t>
            </w:r>
            <w:r>
              <w:rPr>
                <w:color w:val="0000FF"/>
                <w:u w:val="single"/>
              </w:rPr>
              <w:fldChar w:fldCharType="end"/>
            </w:r>
          </w:p>
        </w:tc>
      </w:tr>
      <w:tr w14:paraId="77A4E7C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rPr>
          <w:cantSplit/>
        </w:trPr>
        <w:tc>
          <w:tcPr>
            <w:tcW w:w="709" w:type="dxa"/>
            <w:tcBorders>
              <w:top w:val="single" w:color="auto" w:sz="6" w:space="0"/>
              <w:bottom w:val="single" w:color="auto" w:sz="6" w:space="0"/>
            </w:tcBorders>
            <w:shd w:val="clear" w:color="auto" w:fill="auto"/>
          </w:tcPr>
          <w:p w14:paraId="6D26558D">
            <w:pPr>
              <w:spacing w:before="120" w:after="120"/>
              <w:rPr>
                <w:b/>
              </w:rPr>
            </w:pPr>
            <w:r>
              <w:rPr>
                <w:b/>
              </w:rPr>
              <w:t>9.</w:t>
            </w:r>
          </w:p>
        </w:tc>
        <w:tc>
          <w:tcPr>
            <w:tcW w:w="8524" w:type="dxa"/>
            <w:tcBorders>
              <w:top w:val="single" w:color="auto" w:sz="6" w:space="0"/>
              <w:bottom w:val="single" w:color="auto" w:sz="6" w:space="0"/>
            </w:tcBorders>
            <w:shd w:val="clear" w:color="auto" w:fill="auto"/>
          </w:tcPr>
          <w:p w14:paraId="72ACEC51">
            <w:pPr>
              <w:spacing w:before="120" w:after="120"/>
              <w:rPr>
                <w:bCs/>
              </w:rPr>
            </w:pPr>
            <w:r>
              <w:rPr>
                <w:b/>
              </w:rPr>
              <w:t>Fecha propuesta de adopción:</w:t>
            </w:r>
            <w:r>
              <w:t xml:space="preserve"> Por determinar</w:t>
            </w:r>
          </w:p>
          <w:p w14:paraId="6EF2E76B">
            <w:pPr>
              <w:spacing w:after="120"/>
              <w:rPr>
                <w:b/>
              </w:rPr>
            </w:pPr>
            <w:r>
              <w:rPr>
                <w:b/>
              </w:rPr>
              <w:t>Fecha propuesta de entrada en vigor:</w:t>
            </w:r>
            <w:r>
              <w:t xml:space="preserve"> A los doce (12) meses de su publicación en el Diario Oficial El Peruano</w:t>
            </w:r>
            <w:bookmarkStart w:id="8" w:name="_GoBack"/>
            <w:bookmarkEnd w:id="8"/>
          </w:p>
        </w:tc>
      </w:tr>
      <w:tr w14:paraId="6C23C07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0C5CE3DD">
            <w:pPr>
              <w:spacing w:before="120" w:after="120"/>
              <w:rPr>
                <w:b/>
              </w:rPr>
            </w:pPr>
            <w:r>
              <w:rPr>
                <w:b/>
              </w:rPr>
              <w:t>10.</w:t>
            </w:r>
          </w:p>
        </w:tc>
        <w:tc>
          <w:tcPr>
            <w:tcW w:w="8524" w:type="dxa"/>
            <w:tcBorders>
              <w:top w:val="single" w:color="auto" w:sz="6" w:space="0"/>
              <w:bottom w:val="single" w:color="auto" w:sz="6" w:space="0"/>
            </w:tcBorders>
            <w:shd w:val="clear" w:color="auto" w:fill="auto"/>
          </w:tcPr>
          <w:p w14:paraId="04EA1810">
            <w:pPr>
              <w:spacing w:before="120" w:after="120"/>
              <w:rPr>
                <w:rFonts w:hint="eastAsia" w:eastAsia="宋体"/>
                <w:bCs/>
                <w:lang w:eastAsia="zh-CN"/>
              </w:rPr>
            </w:pPr>
            <w:r>
              <w:rPr>
                <w:b/>
              </w:rPr>
              <w:t>Fecha límite para la presentación de observaciones:</w:t>
            </w:r>
            <w:r>
              <w:t xml:space="preserve"> 30 de agosto de 2025</w:t>
            </w:r>
            <w:r>
              <w:rPr>
                <w:rFonts w:hint="eastAsia" w:eastAsia="宋体"/>
                <w:lang w:eastAsia="zh-CN"/>
              </w:rPr>
              <w:t>，</w:t>
            </w:r>
          </w:p>
          <w:p w14:paraId="041F066E">
            <w:pPr>
              <w:tabs>
                <w:tab w:val="left" w:pos="1418"/>
                <w:tab w:val="left" w:pos="2127"/>
                <w:tab w:val="left" w:pos="2835"/>
                <w:tab w:val="left" w:pos="3402"/>
              </w:tabs>
              <w:spacing w:before="120" w:after="120"/>
            </w:pPr>
            <w:r>
              <w:rPr>
                <w:b/>
              </w:rPr>
              <w:t>[X] 60 días a partir de la fecha de notificación</w:t>
            </w:r>
            <w:r>
              <w:rPr>
                <w:bCs/>
              </w:rPr>
              <w:t xml:space="preserve"> </w:t>
            </w:r>
          </w:p>
        </w:tc>
      </w:tr>
      <w:tr w14:paraId="724EE9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tcBorders>
            <w:shd w:val="clear" w:color="auto" w:fill="auto"/>
          </w:tcPr>
          <w:p w14:paraId="329BF8CA">
            <w:pPr>
              <w:keepNext/>
              <w:keepLines/>
              <w:spacing w:before="120" w:after="120"/>
              <w:rPr>
                <w:b/>
              </w:rPr>
            </w:pPr>
            <w:r>
              <w:rPr>
                <w:b/>
              </w:rPr>
              <w:t>11.</w:t>
            </w:r>
          </w:p>
        </w:tc>
        <w:tc>
          <w:tcPr>
            <w:tcW w:w="8524" w:type="dxa"/>
            <w:tcBorders>
              <w:top w:val="single" w:color="auto" w:sz="6" w:space="0"/>
            </w:tcBorders>
            <w:shd w:val="clear" w:color="auto" w:fill="auto"/>
          </w:tcPr>
          <w:p w14:paraId="24A42996">
            <w:pPr>
              <w:keepNext/>
              <w:keepLines/>
              <w:spacing w:before="120" w:after="120"/>
            </w:pPr>
            <w:r>
              <w:rPr>
                <w:b/>
              </w:rPr>
              <w:t>Textos disponibles en: Servicio nacional de información [ ], o dirección, números de teléfono y de fax y direcciones de correo electrónico y sitios web, en su caso, de otra institución:</w:t>
            </w:r>
            <w:r>
              <w:t xml:space="preserve"> </w:t>
            </w:r>
          </w:p>
          <w:p w14:paraId="1ABCC0D2">
            <w:pPr>
              <w:rPr>
                <w:bCs/>
              </w:rPr>
            </w:pPr>
            <w:r>
              <w:rPr>
                <w:bCs/>
              </w:rPr>
              <w:t>Ministerio de Comercio Exterior y Turismo - MINCETUR</w:t>
            </w:r>
          </w:p>
          <w:p w14:paraId="563DFCC6">
            <w:pPr>
              <w:rPr>
                <w:bCs/>
              </w:rPr>
            </w:pPr>
            <w:r>
              <w:rPr>
                <w:bCs/>
              </w:rPr>
              <w:t>Calle Uno Oeste Nº 50 - Urb. Corpac - Lima 27 - Perú</w:t>
            </w:r>
          </w:p>
          <w:p w14:paraId="23171285">
            <w:pPr>
              <w:rPr>
                <w:bCs/>
              </w:rPr>
            </w:pPr>
            <w:r>
              <w:rPr>
                <w:bCs/>
              </w:rPr>
              <w:t>Teléfono: +(51-1) 513-6100 Extensión 1223 o 1239</w:t>
            </w:r>
          </w:p>
          <w:p w14:paraId="0AC9238B">
            <w:pPr>
              <w:keepNext/>
              <w:keepLines/>
              <w:pBdr>
                <w:top w:val="none" w:color="auto" w:sz="0" w:space="4"/>
              </w:pBdr>
              <w:spacing w:after="120"/>
              <w:rPr>
                <w:bCs/>
                <w:color w:val="0000FF"/>
                <w:u w:val="single"/>
              </w:rPr>
            </w:pPr>
            <w:r>
              <w:rPr>
                <w:bCs/>
              </w:rPr>
              <w:t xml:space="preserve">Correo electrónico: </w:t>
            </w:r>
            <w:r>
              <w:fldChar w:fldCharType="begin"/>
            </w:r>
            <w:r>
              <w:instrText xml:space="preserve"> HYPERLINK "mailto:otc@mincetur.gob.pe" </w:instrText>
            </w:r>
            <w:r>
              <w:fldChar w:fldCharType="separate"/>
            </w:r>
            <w:r>
              <w:rPr>
                <w:bCs/>
                <w:color w:val="0000FF"/>
                <w:u w:val="single"/>
              </w:rPr>
              <w:t>otc@mincetur.gob.pe</w:t>
            </w:r>
            <w:r>
              <w:rPr>
                <w:bCs/>
                <w:color w:val="0000FF"/>
                <w:u w:val="single"/>
              </w:rPr>
              <w:fldChar w:fldCharType="end"/>
            </w:r>
          </w:p>
          <w:p w14:paraId="25640F25">
            <w:pPr>
              <w:keepNext/>
              <w:keepLines/>
              <w:pBdr>
                <w:top w:val="none" w:color="auto" w:sz="0" w:space="4"/>
              </w:pBdr>
              <w:spacing w:after="120"/>
              <w:rPr>
                <w:bCs/>
                <w:color w:val="0000FF"/>
                <w:u w:val="single"/>
              </w:rPr>
            </w:pPr>
          </w:p>
          <w:p w14:paraId="0EFBAA94">
            <w:pPr>
              <w:pBdr>
                <w:top w:val="none" w:color="auto" w:sz="0" w:space="4"/>
                <w:bottom w:val="none" w:color="auto" w:sz="0" w:space="4"/>
              </w:pBdr>
              <w:rPr>
                <w:bCs/>
              </w:rPr>
            </w:pPr>
            <w:r>
              <w:fldChar w:fldCharType="begin"/>
            </w:r>
            <w:r>
              <w:instrText xml:space="preserve"> HYPERLINK "https://members.wto.org/crnattachments/2025/TBT/PER/25_04285_00_s.pdf" \t "_blank" </w:instrText>
            </w:r>
            <w:r>
              <w:fldChar w:fldCharType="separate"/>
            </w:r>
            <w:r>
              <w:rPr>
                <w:bCs/>
                <w:color w:val="0000FF"/>
                <w:u w:val="single"/>
              </w:rPr>
              <w:t>https://members.wto.org/crnattachments/2025/TBT/PER/25_04285_00_s.pdf</w:t>
            </w:r>
            <w:r>
              <w:rPr>
                <w:bCs/>
                <w:color w:val="0000FF"/>
                <w:u w:val="single"/>
              </w:rPr>
              <w:fldChar w:fldCharType="end"/>
            </w:r>
          </w:p>
          <w:p w14:paraId="67CBA2F1">
            <w:pPr>
              <w:rPr>
                <w:bCs/>
              </w:rPr>
            </w:pPr>
            <w:r>
              <w:fldChar w:fldCharType="begin"/>
            </w:r>
            <w:r>
              <w:instrText xml:space="preserve"> HYPERLINK "https://www.gob.pe/institucion/produce/normas-legales/6881991-215-2025-produce" \t "_blank" </w:instrText>
            </w:r>
            <w:r>
              <w:fldChar w:fldCharType="separate"/>
            </w:r>
            <w:r>
              <w:rPr>
                <w:bCs/>
                <w:color w:val="0000FF"/>
                <w:u w:val="single"/>
              </w:rPr>
              <w:t>https://www.gob.pe/institucion/produce/normas-legales/6881991-215-2025-produce</w:t>
            </w:r>
            <w:r>
              <w:rPr>
                <w:bCs/>
                <w:color w:val="0000FF"/>
                <w:u w:val="single"/>
              </w:rPr>
              <w:fldChar w:fldCharType="end"/>
            </w:r>
          </w:p>
          <w:p w14:paraId="0A36D3B7">
            <w:pPr>
              <w:rPr>
                <w:bCs/>
              </w:rPr>
            </w:pPr>
            <w:r>
              <w:fldChar w:fldCharType="begin"/>
            </w:r>
            <w:r>
              <w:instrText xml:space="preserve"> HYPERLINK "http://extranet.comunidadandina.org/sirt/public/buscapalavra.aspx" \t "_blank" </w:instrText>
            </w:r>
            <w:r>
              <w:fldChar w:fldCharType="separate"/>
            </w:r>
            <w:r>
              <w:rPr>
                <w:bCs/>
                <w:color w:val="0000FF"/>
                <w:u w:val="single"/>
              </w:rPr>
              <w:t>http://extranet.comunidadandina.org/sirt/public/buscapalavra.aspx</w:t>
            </w:r>
            <w:r>
              <w:rPr>
                <w:bCs/>
                <w:color w:val="0000FF"/>
                <w:u w:val="single"/>
              </w:rPr>
              <w:fldChar w:fldCharType="end"/>
            </w:r>
          </w:p>
          <w:p w14:paraId="3812B36F">
            <w:pPr>
              <w:keepNext/>
              <w:keepLines/>
              <w:pBdr>
                <w:top w:val="none" w:color="auto" w:sz="0" w:space="4"/>
              </w:pBdr>
              <w:spacing w:after="120"/>
            </w:pPr>
            <w:r>
              <w:fldChar w:fldCharType="begin"/>
            </w:r>
            <w:r>
              <w:instrText xml:space="preserve"> HYPERLINK "http://consultasenlinea.mincetur.gob.pe/notificaciones/Publico/FrmBuscador.aspx" \t "_blank" </w:instrText>
            </w:r>
            <w:r>
              <w:fldChar w:fldCharType="separate"/>
            </w:r>
            <w:r>
              <w:rPr>
                <w:bCs/>
                <w:color w:val="0000FF"/>
                <w:u w:val="single"/>
              </w:rPr>
              <w:t>http://consultasenlinea.mincetur.gob.pe/notificaciones/Publico/FrmBuscador.aspx</w:t>
            </w:r>
            <w:r>
              <w:rPr>
                <w:bCs/>
                <w:color w:val="0000FF"/>
                <w:u w:val="single"/>
              </w:rPr>
              <w:fldChar w:fldCharType="end"/>
            </w:r>
          </w:p>
        </w:tc>
      </w:tr>
    </w:tbl>
    <w:p w14:paraId="585933D2"/>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48DC7">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3F3CB">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0E5E9">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7599E">
    <w:pPr>
      <w:pStyle w:val="58"/>
      <w:pBdr>
        <w:bottom w:val="single" w:color="auto" w:sz="4" w:space="1"/>
      </w:pBdr>
      <w:tabs>
        <w:tab w:val="clear" w:pos="4513"/>
        <w:tab w:val="clear" w:pos="9027"/>
      </w:tabs>
      <w:jc w:val="center"/>
    </w:pPr>
    <w:r>
      <w:t>G/TBT/N/PER/168</w:t>
    </w:r>
  </w:p>
  <w:p w14:paraId="449CA9DA">
    <w:pPr>
      <w:pStyle w:val="58"/>
      <w:pBdr>
        <w:bottom w:val="single" w:color="auto" w:sz="4" w:space="1"/>
      </w:pBdr>
      <w:tabs>
        <w:tab w:val="clear" w:pos="4513"/>
        <w:tab w:val="clear" w:pos="9027"/>
      </w:tabs>
      <w:jc w:val="center"/>
    </w:pPr>
  </w:p>
  <w:p w14:paraId="2C82CCE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64E1C6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E949F">
    <w:pPr>
      <w:pStyle w:val="58"/>
      <w:pBdr>
        <w:bottom w:val="single" w:color="auto" w:sz="4" w:space="1"/>
      </w:pBdr>
      <w:tabs>
        <w:tab w:val="clear" w:pos="4513"/>
        <w:tab w:val="clear" w:pos="9027"/>
      </w:tabs>
      <w:jc w:val="center"/>
    </w:pPr>
    <w:r>
      <w:t>G/TBT/N/PER/168</w:t>
    </w:r>
  </w:p>
  <w:p w14:paraId="668B85B3">
    <w:pPr>
      <w:pStyle w:val="58"/>
      <w:pBdr>
        <w:bottom w:val="single" w:color="auto" w:sz="4" w:space="1"/>
      </w:pBdr>
      <w:tabs>
        <w:tab w:val="clear" w:pos="4513"/>
        <w:tab w:val="clear" w:pos="9027"/>
      </w:tabs>
      <w:jc w:val="center"/>
    </w:pPr>
  </w:p>
  <w:p w14:paraId="5915C43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08F0582">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818"/>
      <w:gridCol w:w="2141"/>
      <w:gridCol w:w="3283"/>
    </w:tblGrid>
    <w:tr w14:paraId="4598AA9F">
      <w:tblPrEx>
        <w:tblCellMar>
          <w:top w:w="0" w:type="dxa"/>
          <w:left w:w="0" w:type="dxa"/>
          <w:bottom w:w="0" w:type="dxa"/>
          <w:right w:w="0" w:type="dxa"/>
        </w:tblCellMar>
      </w:tblPrEx>
      <w:trPr>
        <w:trHeight w:val="240" w:hRule="atLeast"/>
        <w:jc w:val="center"/>
      </w:trPr>
      <w:tc>
        <w:tcPr>
          <w:tcW w:w="3818" w:type="dxa"/>
          <w:shd w:val="clear" w:color="auto" w:fill="FFFFFF"/>
          <w:tcMar>
            <w:top w:w="0" w:type="dxa"/>
            <w:left w:w="108" w:type="dxa"/>
            <w:bottom w:w="0" w:type="dxa"/>
            <w:right w:w="108" w:type="dxa"/>
          </w:tcMar>
          <w:vAlign w:val="center"/>
        </w:tcPr>
        <w:p w14:paraId="7748D3B5">
          <w:pPr>
            <w:rPr>
              <w:szCs w:val="18"/>
              <w:lang w:eastAsia="en-GB"/>
            </w:rPr>
          </w:pPr>
          <w:bookmarkStart w:id="0" w:name="bmkRestricted" w:colFirst="1" w:colLast="1"/>
        </w:p>
      </w:tc>
      <w:tc>
        <w:tcPr>
          <w:tcW w:w="5424" w:type="dxa"/>
          <w:gridSpan w:val="2"/>
          <w:shd w:val="clear" w:color="auto" w:fill="FFFFFF"/>
          <w:tcMar>
            <w:top w:w="0" w:type="dxa"/>
            <w:left w:w="108" w:type="dxa"/>
            <w:bottom w:w="0" w:type="dxa"/>
            <w:right w:w="108" w:type="dxa"/>
          </w:tcMar>
          <w:vAlign w:val="center"/>
        </w:tcPr>
        <w:p w14:paraId="3FEEC216">
          <w:pPr>
            <w:jc w:val="right"/>
            <w:rPr>
              <w:b/>
              <w:color w:val="FF0000"/>
              <w:szCs w:val="18"/>
            </w:rPr>
          </w:pPr>
          <w:r>
            <w:rPr>
              <w:b/>
              <w:color w:val="FF0000"/>
              <w:szCs w:val="18"/>
            </w:rPr>
            <w:t xml:space="preserve"> </w:t>
          </w:r>
        </w:p>
      </w:tc>
    </w:tr>
    <w:bookmarkEnd w:id="0"/>
    <w:tr w14:paraId="0282DFF6">
      <w:tblPrEx>
        <w:tblCellMar>
          <w:top w:w="0" w:type="dxa"/>
          <w:left w:w="0" w:type="dxa"/>
          <w:bottom w:w="0" w:type="dxa"/>
          <w:right w:w="0" w:type="dxa"/>
        </w:tblCellMar>
      </w:tblPrEx>
      <w:trPr>
        <w:trHeight w:val="213" w:hRule="atLeast"/>
        <w:jc w:val="center"/>
      </w:trPr>
      <w:tc>
        <w:tcPr>
          <w:tcW w:w="3818" w:type="dxa"/>
          <w:vMerge w:val="restart"/>
          <w:shd w:val="clear" w:color="auto" w:fill="FFFFFF"/>
        </w:tcPr>
        <w:p w14:paraId="0CD66D6E">
          <w:pPr>
            <w:jc w:val="left"/>
            <w:rPr>
              <w:szCs w:val="18"/>
            </w:rPr>
          </w:pPr>
          <w:r>
            <w:rPr>
              <w:szCs w:val="18"/>
              <w:lang w:eastAsia="en-GB"/>
            </w:rPr>
            <w:drawing>
              <wp:inline distT="0" distB="0" distL="0" distR="0">
                <wp:extent cx="240157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401570" cy="713740"/>
                        </a:xfrm>
                        <a:prstGeom prst="rect">
                          <a:avLst/>
                        </a:prstGeom>
                        <a:noFill/>
                        <a:ln>
                          <a:noFill/>
                        </a:ln>
                      </pic:spPr>
                    </pic:pic>
                  </a:graphicData>
                </a:graphic>
              </wp:inline>
            </w:drawing>
          </w:r>
        </w:p>
      </w:tc>
      <w:tc>
        <w:tcPr>
          <w:tcW w:w="5424" w:type="dxa"/>
          <w:gridSpan w:val="2"/>
          <w:shd w:val="clear" w:color="auto" w:fill="FFFFFF"/>
          <w:tcMar>
            <w:top w:w="0" w:type="dxa"/>
            <w:left w:w="108" w:type="dxa"/>
            <w:bottom w:w="0" w:type="dxa"/>
            <w:right w:w="108" w:type="dxa"/>
          </w:tcMar>
        </w:tcPr>
        <w:p w14:paraId="1930DC5F">
          <w:pPr>
            <w:jc w:val="right"/>
            <w:rPr>
              <w:b/>
              <w:szCs w:val="18"/>
            </w:rPr>
          </w:pPr>
        </w:p>
      </w:tc>
    </w:tr>
    <w:tr w14:paraId="7AECE15D">
      <w:tblPrEx>
        <w:tblCellMar>
          <w:top w:w="0" w:type="dxa"/>
          <w:left w:w="0" w:type="dxa"/>
          <w:bottom w:w="0" w:type="dxa"/>
          <w:right w:w="0" w:type="dxa"/>
        </w:tblCellMar>
      </w:tblPrEx>
      <w:trPr>
        <w:trHeight w:val="868" w:hRule="atLeast"/>
        <w:jc w:val="center"/>
      </w:trPr>
      <w:tc>
        <w:tcPr>
          <w:tcW w:w="3818" w:type="dxa"/>
          <w:vMerge w:val="continue"/>
          <w:vAlign w:val="center"/>
        </w:tcPr>
        <w:p w14:paraId="71D6A3BA">
          <w:pPr>
            <w:jc w:val="left"/>
            <w:rPr>
              <w:szCs w:val="18"/>
            </w:rPr>
          </w:pPr>
        </w:p>
      </w:tc>
      <w:tc>
        <w:tcPr>
          <w:tcW w:w="5424" w:type="dxa"/>
          <w:gridSpan w:val="2"/>
          <w:shd w:val="clear" w:color="auto" w:fill="FFFFFF"/>
          <w:tcMar>
            <w:top w:w="0" w:type="dxa"/>
            <w:left w:w="108" w:type="dxa"/>
            <w:bottom w:w="0" w:type="dxa"/>
            <w:right w:w="108" w:type="dxa"/>
          </w:tcMar>
        </w:tcPr>
        <w:p w14:paraId="6D7A597E">
          <w:pPr>
            <w:jc w:val="right"/>
            <w:rPr>
              <w:rFonts w:hint="default" w:eastAsia="宋体"/>
              <w:b/>
              <w:szCs w:val="18"/>
              <w:lang w:val="en-US" w:eastAsia="zh-CN"/>
            </w:rPr>
          </w:pPr>
          <w:bookmarkStart w:id="1" w:name="bmkSymbols"/>
          <w:r>
            <w:rPr>
              <w:b/>
              <w:szCs w:val="18"/>
            </w:rPr>
            <w:t>G/TBT/N/PER/1</w:t>
          </w:r>
          <w:r>
            <w:rPr>
              <w:rFonts w:hint="eastAsia" w:eastAsia="宋体"/>
              <w:b/>
              <w:szCs w:val="18"/>
              <w:lang w:val="en-US" w:eastAsia="zh-CN"/>
            </w:rPr>
            <w:t>70</w:t>
          </w:r>
        </w:p>
        <w:bookmarkEnd w:id="1"/>
        <w:p w14:paraId="5253FBBA">
          <w:pPr>
            <w:jc w:val="right"/>
            <w:rPr>
              <w:b/>
              <w:szCs w:val="18"/>
            </w:rPr>
          </w:pPr>
        </w:p>
      </w:tc>
    </w:tr>
    <w:tr w14:paraId="16E55AAB">
      <w:tblPrEx>
        <w:tblCellMar>
          <w:top w:w="0" w:type="dxa"/>
          <w:left w:w="0" w:type="dxa"/>
          <w:bottom w:w="0" w:type="dxa"/>
          <w:right w:w="0" w:type="dxa"/>
        </w:tblCellMar>
      </w:tblPrEx>
      <w:trPr>
        <w:trHeight w:val="240" w:hRule="atLeast"/>
        <w:jc w:val="center"/>
      </w:trPr>
      <w:tc>
        <w:tcPr>
          <w:tcW w:w="3818" w:type="dxa"/>
          <w:vMerge w:val="continue"/>
          <w:vAlign w:val="center"/>
        </w:tcPr>
        <w:p w14:paraId="6C8EA1F8">
          <w:pPr>
            <w:jc w:val="left"/>
            <w:rPr>
              <w:szCs w:val="18"/>
            </w:rPr>
          </w:pPr>
        </w:p>
      </w:tc>
      <w:tc>
        <w:tcPr>
          <w:tcW w:w="5424" w:type="dxa"/>
          <w:gridSpan w:val="2"/>
          <w:shd w:val="clear" w:color="auto" w:fill="FFFFFF"/>
          <w:tcMar>
            <w:top w:w="0" w:type="dxa"/>
            <w:left w:w="108" w:type="dxa"/>
            <w:bottom w:w="0" w:type="dxa"/>
            <w:right w:w="108" w:type="dxa"/>
          </w:tcMar>
          <w:vAlign w:val="center"/>
        </w:tcPr>
        <w:p w14:paraId="36E8AA98">
          <w:pPr>
            <w:jc w:val="right"/>
            <w:rPr>
              <w:szCs w:val="18"/>
            </w:rPr>
          </w:pPr>
          <w:bookmarkStart w:id="2" w:name="spsDateDistribution"/>
          <w:bookmarkStart w:id="3" w:name="bmkDate"/>
          <w:r>
            <w:rPr>
              <w:szCs w:val="18"/>
            </w:rPr>
            <w:t>1 de julio de 2025</w:t>
          </w:r>
          <w:bookmarkEnd w:id="2"/>
          <w:bookmarkEnd w:id="3"/>
        </w:p>
      </w:tc>
    </w:tr>
    <w:tr w14:paraId="6605CC42">
      <w:tblPrEx>
        <w:tblCellMar>
          <w:top w:w="0" w:type="dxa"/>
          <w:left w:w="0" w:type="dxa"/>
          <w:bottom w:w="0" w:type="dxa"/>
          <w:right w:w="0" w:type="dxa"/>
        </w:tblCellMar>
      </w:tblPrEx>
      <w:trPr>
        <w:trHeight w:val="412" w:hRule="atLeast"/>
        <w:jc w:val="center"/>
      </w:trPr>
      <w:tc>
        <w:tcPr>
          <w:tcW w:w="5959" w:type="dxa"/>
          <w:gridSpan w:val="2"/>
          <w:tcBorders>
            <w:top w:val="nil"/>
            <w:left w:val="nil"/>
            <w:bottom w:val="single" w:color="auto" w:sz="4" w:space="0"/>
            <w:right w:val="nil"/>
          </w:tcBorders>
          <w:tcMar>
            <w:top w:w="0" w:type="dxa"/>
            <w:left w:w="108" w:type="dxa"/>
            <w:bottom w:w="57" w:type="dxa"/>
            <w:right w:w="108" w:type="dxa"/>
          </w:tcMar>
          <w:vAlign w:val="bottom"/>
        </w:tcPr>
        <w:p w14:paraId="77D4169A">
          <w:pPr>
            <w:jc w:val="left"/>
            <w:rPr>
              <w:b/>
              <w:szCs w:val="18"/>
            </w:rPr>
          </w:pPr>
          <w:bookmarkStart w:id="4" w:name="bmkSerial"/>
          <w:r>
            <w:rPr>
              <w:b w:val="0"/>
              <w:color w:val="FF0000"/>
            </w:rPr>
            <w:t>(25-</w:t>
          </w:r>
          <w:r>
            <w:rPr>
              <w:rFonts w:hint="eastAsia" w:eastAsia="宋体"/>
              <w:b w:val="0"/>
              <w:color w:val="FF0000"/>
              <w:lang w:val="en-US" w:eastAsia="zh-CN"/>
            </w:rPr>
            <w:t>4257</w:t>
          </w:r>
          <w:r>
            <w:rPr>
              <w:b w:val="0"/>
              <w:color w:val="FF0000"/>
            </w:rPr>
            <w:t>)</w:t>
          </w:r>
          <w:bookmarkEnd w:id="4"/>
        </w:p>
      </w:tc>
      <w:tc>
        <w:tcPr>
          <w:tcW w:w="3283" w:type="dxa"/>
          <w:tcBorders>
            <w:top w:val="nil"/>
            <w:left w:val="nil"/>
            <w:bottom w:val="single" w:color="auto" w:sz="4" w:space="0"/>
            <w:right w:val="nil"/>
          </w:tcBorders>
          <w:tcMar>
            <w:top w:w="0" w:type="dxa"/>
            <w:left w:w="108" w:type="dxa"/>
            <w:bottom w:w="57" w:type="dxa"/>
            <w:right w:w="108" w:type="dxa"/>
          </w:tcMar>
          <w:vAlign w:val="bottom"/>
        </w:tcPr>
        <w:p w14:paraId="1E7412E6">
          <w:pPr>
            <w:jc w:val="right"/>
            <w:rPr>
              <w:szCs w:val="18"/>
            </w:rPr>
          </w:pPr>
          <w:bookmarkStart w:id="5" w:name="bmkTotPages"/>
          <w:r>
            <w:rPr>
              <w:bCs/>
              <w:szCs w:val="18"/>
            </w:rPr>
            <w:t xml:space="preserve">Página: </w:t>
          </w:r>
          <w:r>
            <w:rPr>
              <w:szCs w:val="18"/>
            </w:rPr>
            <w:fldChar w:fldCharType="begin"/>
          </w:r>
          <w:r>
            <w:rPr>
              <w:bCs/>
              <w:szCs w:val="18"/>
            </w:rPr>
            <w:instrText xml:space="preserve"> PAGE  \* Arabic  \* MERGEFORMAT </w:instrText>
          </w:r>
          <w:r>
            <w:rPr>
              <w:szCs w:val="18"/>
            </w:rPr>
            <w:fldChar w:fldCharType="separate"/>
          </w:r>
          <w:r>
            <w:rPr>
              <w:rFonts w:ascii="Verdana" w:hAnsi="Verdana" w:eastAsia="Calibri"/>
              <w:bCs/>
              <w:sz w:val="18"/>
              <w:szCs w:val="18"/>
              <w:lang w:val="es-ES" w:eastAsia="en-US" w:bidi="ar-SA"/>
            </w:rPr>
            <w:t>1</w:t>
          </w:r>
          <w:r>
            <w:rPr>
              <w:szCs w:val="18"/>
            </w:rPr>
            <w:fldChar w:fldCharType="end"/>
          </w:r>
          <w:r>
            <w:rPr>
              <w:bCs/>
              <w:szCs w:val="18"/>
            </w:rPr>
            <w:t>/</w:t>
          </w:r>
          <w:r>
            <w:rPr>
              <w:szCs w:val="18"/>
            </w:rPr>
            <w:fldChar w:fldCharType="begin"/>
          </w:r>
          <w:r>
            <w:rPr>
              <w:bCs/>
              <w:szCs w:val="18"/>
            </w:rPr>
            <w:instrText xml:space="preserve"> NUMPAGES  \* Arabic  \* MERGEFORMAT </w:instrText>
          </w:r>
          <w:r>
            <w:rPr>
              <w:szCs w:val="18"/>
            </w:rPr>
            <w:fldChar w:fldCharType="separate"/>
          </w:r>
          <w:r>
            <w:rPr>
              <w:rFonts w:ascii="Verdana" w:hAnsi="Verdana" w:eastAsia="Calibri"/>
              <w:bCs/>
              <w:sz w:val="18"/>
              <w:szCs w:val="18"/>
              <w:lang w:val="es-ES" w:eastAsia="en-US" w:bidi="ar-SA"/>
            </w:rPr>
            <w:t>2</w:t>
          </w:r>
          <w:r>
            <w:rPr>
              <w:szCs w:val="18"/>
            </w:rPr>
            <w:fldChar w:fldCharType="end"/>
          </w:r>
          <w:bookmarkEnd w:id="5"/>
        </w:p>
      </w:tc>
    </w:tr>
    <w:tr w14:paraId="5DB9239D">
      <w:tblPrEx>
        <w:tblCellMar>
          <w:top w:w="0" w:type="dxa"/>
          <w:left w:w="0" w:type="dxa"/>
          <w:bottom w:w="0" w:type="dxa"/>
          <w:right w:w="0" w:type="dxa"/>
        </w:tblCellMar>
      </w:tblPrEx>
      <w:trPr>
        <w:trHeight w:val="240" w:hRule="atLeast"/>
        <w:jc w:val="center"/>
      </w:trPr>
      <w:tc>
        <w:tcPr>
          <w:tcW w:w="5959" w:type="dxa"/>
          <w:gridSpan w:val="2"/>
          <w:tcBorders>
            <w:top w:val="single" w:color="auto" w:sz="4" w:space="0"/>
            <w:left w:val="nil"/>
            <w:bottom w:val="nil"/>
            <w:right w:val="nil"/>
          </w:tcBorders>
          <w:tcMar>
            <w:top w:w="113" w:type="dxa"/>
            <w:left w:w="108" w:type="dxa"/>
            <w:bottom w:w="57" w:type="dxa"/>
            <w:right w:w="108" w:type="dxa"/>
          </w:tcMar>
          <w:vAlign w:val="center"/>
        </w:tcPr>
        <w:p w14:paraId="0779DD7E">
          <w:pPr>
            <w:jc w:val="left"/>
            <w:rPr>
              <w:szCs w:val="18"/>
            </w:rPr>
          </w:pPr>
          <w:bookmarkStart w:id="6" w:name="bmkCommittee"/>
          <w:r>
            <w:rPr>
              <w:b/>
              <w:szCs w:val="18"/>
            </w:rPr>
            <w:t>Comité de Obstáculos Técnicos al Comercio</w:t>
          </w:r>
          <w:bookmarkEnd w:id="6"/>
        </w:p>
      </w:tc>
      <w:tc>
        <w:tcPr>
          <w:tcW w:w="3283" w:type="dxa"/>
          <w:tcBorders>
            <w:top w:val="single" w:color="auto" w:sz="4" w:space="0"/>
            <w:left w:val="nil"/>
            <w:bottom w:val="nil"/>
            <w:right w:val="nil"/>
          </w:tcBorders>
          <w:tcMar>
            <w:top w:w="113" w:type="dxa"/>
            <w:left w:w="108" w:type="dxa"/>
            <w:bottom w:w="57" w:type="dxa"/>
            <w:right w:w="108" w:type="dxa"/>
          </w:tcMar>
          <w:vAlign w:val="center"/>
        </w:tcPr>
        <w:p w14:paraId="6932D242">
          <w:pPr>
            <w:jc w:val="right"/>
            <w:rPr>
              <w:bCs/>
              <w:szCs w:val="18"/>
            </w:rPr>
          </w:pPr>
          <w:bookmarkStart w:id="7" w:name="bmkLanguage"/>
          <w:r>
            <w:rPr>
              <w:bCs/>
              <w:szCs w:val="18"/>
            </w:rPr>
            <w:t>Original: español</w:t>
          </w:r>
          <w:bookmarkEnd w:id="7"/>
        </w:p>
      </w:tc>
    </w:tr>
  </w:tbl>
  <w:p w14:paraId="22981E9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77"/>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567"/>
  <w:evenAndOddHeaders w:val="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1D9"/>
    <w:rsid w:val="00004820"/>
    <w:rsid w:val="000074D5"/>
    <w:rsid w:val="00016119"/>
    <w:rsid w:val="0002424F"/>
    <w:rsid w:val="00033711"/>
    <w:rsid w:val="00057BEF"/>
    <w:rsid w:val="00067D73"/>
    <w:rsid w:val="00071B26"/>
    <w:rsid w:val="0008008F"/>
    <w:rsid w:val="00092794"/>
    <w:rsid w:val="00093FCA"/>
    <w:rsid w:val="000A7098"/>
    <w:rsid w:val="000B12FE"/>
    <w:rsid w:val="000C724C"/>
    <w:rsid w:val="000D23F0"/>
    <w:rsid w:val="000D2FB0"/>
    <w:rsid w:val="000D4C66"/>
    <w:rsid w:val="00104D9E"/>
    <w:rsid w:val="00114B29"/>
    <w:rsid w:val="001171A2"/>
    <w:rsid w:val="00120B96"/>
    <w:rsid w:val="001273FC"/>
    <w:rsid w:val="001338F0"/>
    <w:rsid w:val="0014012F"/>
    <w:rsid w:val="001426D0"/>
    <w:rsid w:val="0017356C"/>
    <w:rsid w:val="00182B7B"/>
    <w:rsid w:val="001B50DF"/>
    <w:rsid w:val="001B6B1E"/>
    <w:rsid w:val="001C08C0"/>
    <w:rsid w:val="001C7AC6"/>
    <w:rsid w:val="001D0E4B"/>
    <w:rsid w:val="001D74DE"/>
    <w:rsid w:val="001E6701"/>
    <w:rsid w:val="001F2C22"/>
    <w:rsid w:val="00200874"/>
    <w:rsid w:val="00207095"/>
    <w:rsid w:val="002149CB"/>
    <w:rsid w:val="002242B5"/>
    <w:rsid w:val="002433AD"/>
    <w:rsid w:val="00255119"/>
    <w:rsid w:val="00266494"/>
    <w:rsid w:val="00272713"/>
    <w:rsid w:val="00276383"/>
    <w:rsid w:val="002827CB"/>
    <w:rsid w:val="00287066"/>
    <w:rsid w:val="002B0C97"/>
    <w:rsid w:val="002E4A00"/>
    <w:rsid w:val="003267CD"/>
    <w:rsid w:val="00334600"/>
    <w:rsid w:val="00337700"/>
    <w:rsid w:val="003422F5"/>
    <w:rsid w:val="00342A86"/>
    <w:rsid w:val="003975E1"/>
    <w:rsid w:val="003A0E78"/>
    <w:rsid w:val="003A19CB"/>
    <w:rsid w:val="003A3E55"/>
    <w:rsid w:val="003B0391"/>
    <w:rsid w:val="003B6D4C"/>
    <w:rsid w:val="003C0D06"/>
    <w:rsid w:val="003C5751"/>
    <w:rsid w:val="003E29E0"/>
    <w:rsid w:val="003E3193"/>
    <w:rsid w:val="003E3A26"/>
    <w:rsid w:val="003F0353"/>
    <w:rsid w:val="003F0B47"/>
    <w:rsid w:val="003F46BB"/>
    <w:rsid w:val="00412DAF"/>
    <w:rsid w:val="004263C0"/>
    <w:rsid w:val="00426FB1"/>
    <w:rsid w:val="0043612A"/>
    <w:rsid w:val="00440FA1"/>
    <w:rsid w:val="00466A2B"/>
    <w:rsid w:val="004935F4"/>
    <w:rsid w:val="004B06F7"/>
    <w:rsid w:val="004D290D"/>
    <w:rsid w:val="004D3BBA"/>
    <w:rsid w:val="004D5D05"/>
    <w:rsid w:val="004D622B"/>
    <w:rsid w:val="004E1A35"/>
    <w:rsid w:val="004E55A0"/>
    <w:rsid w:val="004F4ADE"/>
    <w:rsid w:val="00524772"/>
    <w:rsid w:val="00533502"/>
    <w:rsid w:val="0054586F"/>
    <w:rsid w:val="00571EE1"/>
    <w:rsid w:val="00582F70"/>
    <w:rsid w:val="0059270F"/>
    <w:rsid w:val="00592965"/>
    <w:rsid w:val="005A5D90"/>
    <w:rsid w:val="005B571A"/>
    <w:rsid w:val="005C6D4E"/>
    <w:rsid w:val="005C7CCF"/>
    <w:rsid w:val="005D21E5"/>
    <w:rsid w:val="005D4F0E"/>
    <w:rsid w:val="005E14C9"/>
    <w:rsid w:val="005F0AAE"/>
    <w:rsid w:val="00605630"/>
    <w:rsid w:val="00617B12"/>
    <w:rsid w:val="006652F7"/>
    <w:rsid w:val="00674766"/>
    <w:rsid w:val="00674833"/>
    <w:rsid w:val="00677F2C"/>
    <w:rsid w:val="00696361"/>
    <w:rsid w:val="006A2F2A"/>
    <w:rsid w:val="006A63E9"/>
    <w:rsid w:val="006C0F04"/>
    <w:rsid w:val="006C6F34"/>
    <w:rsid w:val="006D492E"/>
    <w:rsid w:val="006E0C67"/>
    <w:rsid w:val="006F4B8D"/>
    <w:rsid w:val="006F728A"/>
    <w:rsid w:val="00702623"/>
    <w:rsid w:val="00713022"/>
    <w:rsid w:val="00727F5B"/>
    <w:rsid w:val="00735ADA"/>
    <w:rsid w:val="00744D6F"/>
    <w:rsid w:val="007461AF"/>
    <w:rsid w:val="00786644"/>
    <w:rsid w:val="00795114"/>
    <w:rsid w:val="00795D34"/>
    <w:rsid w:val="00797BE0"/>
    <w:rsid w:val="007A761F"/>
    <w:rsid w:val="007B7BB1"/>
    <w:rsid w:val="007C4766"/>
    <w:rsid w:val="007D39B5"/>
    <w:rsid w:val="007E3474"/>
    <w:rsid w:val="00801776"/>
    <w:rsid w:val="008075C7"/>
    <w:rsid w:val="00824E3F"/>
    <w:rsid w:val="0082584C"/>
    <w:rsid w:val="008267C3"/>
    <w:rsid w:val="00827789"/>
    <w:rsid w:val="00833814"/>
    <w:rsid w:val="00834FB6"/>
    <w:rsid w:val="008402D9"/>
    <w:rsid w:val="00842D59"/>
    <w:rsid w:val="0085388D"/>
    <w:rsid w:val="00873EB4"/>
    <w:rsid w:val="008849EF"/>
    <w:rsid w:val="00885409"/>
    <w:rsid w:val="008915D0"/>
    <w:rsid w:val="008960CC"/>
    <w:rsid w:val="008A1305"/>
    <w:rsid w:val="008A2F61"/>
    <w:rsid w:val="008E4B39"/>
    <w:rsid w:val="0090284E"/>
    <w:rsid w:val="00912133"/>
    <w:rsid w:val="0091417D"/>
    <w:rsid w:val="00917BFE"/>
    <w:rsid w:val="00924FA9"/>
    <w:rsid w:val="009304CB"/>
    <w:rsid w:val="0093775F"/>
    <w:rsid w:val="00946686"/>
    <w:rsid w:val="009613B7"/>
    <w:rsid w:val="0096410F"/>
    <w:rsid w:val="0098644F"/>
    <w:rsid w:val="009A0D78"/>
    <w:rsid w:val="009C190B"/>
    <w:rsid w:val="009D63FB"/>
    <w:rsid w:val="009E6970"/>
    <w:rsid w:val="009F491D"/>
    <w:rsid w:val="009F7158"/>
    <w:rsid w:val="00A03017"/>
    <w:rsid w:val="00A04DBF"/>
    <w:rsid w:val="00A06BA0"/>
    <w:rsid w:val="00A22D74"/>
    <w:rsid w:val="00A23CA3"/>
    <w:rsid w:val="00A26048"/>
    <w:rsid w:val="00A37C79"/>
    <w:rsid w:val="00A42A6A"/>
    <w:rsid w:val="00A46611"/>
    <w:rsid w:val="00A52F73"/>
    <w:rsid w:val="00A5462B"/>
    <w:rsid w:val="00A60556"/>
    <w:rsid w:val="00A627A8"/>
    <w:rsid w:val="00A67526"/>
    <w:rsid w:val="00A73F8C"/>
    <w:rsid w:val="00A803F2"/>
    <w:rsid w:val="00A84BF5"/>
    <w:rsid w:val="00A950D3"/>
    <w:rsid w:val="00AC7C4D"/>
    <w:rsid w:val="00AD1003"/>
    <w:rsid w:val="00AD2FD7"/>
    <w:rsid w:val="00AD59FD"/>
    <w:rsid w:val="00AE3C0C"/>
    <w:rsid w:val="00AF251E"/>
    <w:rsid w:val="00AF33E8"/>
    <w:rsid w:val="00B016F2"/>
    <w:rsid w:val="00B03A79"/>
    <w:rsid w:val="00B043C7"/>
    <w:rsid w:val="00B07663"/>
    <w:rsid w:val="00B24B85"/>
    <w:rsid w:val="00B25551"/>
    <w:rsid w:val="00B2636C"/>
    <w:rsid w:val="00B30392"/>
    <w:rsid w:val="00B3140F"/>
    <w:rsid w:val="00B4336E"/>
    <w:rsid w:val="00B45327"/>
    <w:rsid w:val="00B45F9E"/>
    <w:rsid w:val="00B46156"/>
    <w:rsid w:val="00B531D9"/>
    <w:rsid w:val="00B729C4"/>
    <w:rsid w:val="00B7403D"/>
    <w:rsid w:val="00B83FE6"/>
    <w:rsid w:val="00B86771"/>
    <w:rsid w:val="00BA5D80"/>
    <w:rsid w:val="00BB0211"/>
    <w:rsid w:val="00BB432E"/>
    <w:rsid w:val="00BC17E5"/>
    <w:rsid w:val="00BC2650"/>
    <w:rsid w:val="00BE28A4"/>
    <w:rsid w:val="00BE536B"/>
    <w:rsid w:val="00C05660"/>
    <w:rsid w:val="00C11419"/>
    <w:rsid w:val="00C32C7B"/>
    <w:rsid w:val="00C34F2D"/>
    <w:rsid w:val="00C400B5"/>
    <w:rsid w:val="00C40800"/>
    <w:rsid w:val="00C41B3D"/>
    <w:rsid w:val="00C43BE2"/>
    <w:rsid w:val="00C65229"/>
    <w:rsid w:val="00C65F6E"/>
    <w:rsid w:val="00C67AA4"/>
    <w:rsid w:val="00C71274"/>
    <w:rsid w:val="00C97117"/>
    <w:rsid w:val="00CB2591"/>
    <w:rsid w:val="00CD0195"/>
    <w:rsid w:val="00CD0728"/>
    <w:rsid w:val="00CD5EC3"/>
    <w:rsid w:val="00CE1C9D"/>
    <w:rsid w:val="00CF4D05"/>
    <w:rsid w:val="00D2518F"/>
    <w:rsid w:val="00D42176"/>
    <w:rsid w:val="00D5212D"/>
    <w:rsid w:val="00D52473"/>
    <w:rsid w:val="00D56B72"/>
    <w:rsid w:val="00D65AF6"/>
    <w:rsid w:val="00D66DCB"/>
    <w:rsid w:val="00D66F5C"/>
    <w:rsid w:val="00D74837"/>
    <w:rsid w:val="00D94AEA"/>
    <w:rsid w:val="00DB41F5"/>
    <w:rsid w:val="00DB47DD"/>
    <w:rsid w:val="00DB7CB0"/>
    <w:rsid w:val="00DD5319"/>
    <w:rsid w:val="00DD65B2"/>
    <w:rsid w:val="00E21DE6"/>
    <w:rsid w:val="00E464CD"/>
    <w:rsid w:val="00E47B1B"/>
    <w:rsid w:val="00E60485"/>
    <w:rsid w:val="00E764A5"/>
    <w:rsid w:val="00E81A56"/>
    <w:rsid w:val="00E844E4"/>
    <w:rsid w:val="00E95E51"/>
    <w:rsid w:val="00E97806"/>
    <w:rsid w:val="00EA1572"/>
    <w:rsid w:val="00EB1D8F"/>
    <w:rsid w:val="00EB4982"/>
    <w:rsid w:val="00EB7769"/>
    <w:rsid w:val="00ED3396"/>
    <w:rsid w:val="00EE50B7"/>
    <w:rsid w:val="00EF045A"/>
    <w:rsid w:val="00EF756F"/>
    <w:rsid w:val="00F009AC"/>
    <w:rsid w:val="00F11625"/>
    <w:rsid w:val="00F325A3"/>
    <w:rsid w:val="00F4794A"/>
    <w:rsid w:val="00F50606"/>
    <w:rsid w:val="00F629A0"/>
    <w:rsid w:val="00F84BAB"/>
    <w:rsid w:val="00F854DF"/>
    <w:rsid w:val="00F916EC"/>
    <w:rsid w:val="00F92409"/>
    <w:rsid w:val="00F94181"/>
    <w:rsid w:val="00F94FC2"/>
    <w:rsid w:val="00FA12D4"/>
    <w:rsid w:val="00FB17AE"/>
    <w:rsid w:val="00FB6323"/>
    <w:rsid w:val="00FC4ECA"/>
    <w:rsid w:val="00FE550F"/>
    <w:rsid w:val="00FF0748"/>
    <w:rsid w:val="00FF7330"/>
    <w:rsid w:val="2B150292"/>
    <w:rsid w:val="42E777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s-ES"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1"/>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2"/>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3"/>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0"/>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s-ES" w:eastAsia="en-US" w:bidi="ar-SA"/>
    </w:rPr>
  </w:style>
  <w:style w:type="paragraph" w:styleId="9">
    <w:name w:val="Body Text"/>
    <w:basedOn w:val="1"/>
    <w:link w:val="261"/>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3"/>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5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4"/>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2"/>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7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s-ES"/>
    </w:rPr>
  </w:style>
  <w:style w:type="character" w:styleId="233">
    <w:name w:val="endnote reference"/>
    <w:qFormat/>
    <w:uiPriority w:val="49"/>
    <w:rPr>
      <w:vertAlign w:val="superscript"/>
      <w:lang w:val="es-ES"/>
    </w:rPr>
  </w:style>
  <w:style w:type="character" w:styleId="234">
    <w:name w:val="page number"/>
    <w:semiHidden/>
    <w:unhideWhenUsed/>
    <w:qFormat/>
    <w:uiPriority w:val="99"/>
    <w:rPr>
      <w:lang w:val="es-ES"/>
    </w:rPr>
  </w:style>
  <w:style w:type="character" w:styleId="235">
    <w:name w:val="FollowedHyperlink"/>
    <w:unhideWhenUsed/>
    <w:qFormat/>
    <w:uiPriority w:val="9"/>
    <w:rPr>
      <w:color w:val="800080"/>
      <w:u w:val="single"/>
      <w:lang w:val="es-ES"/>
    </w:rPr>
  </w:style>
  <w:style w:type="character" w:styleId="236">
    <w:name w:val="Emphasis"/>
    <w:semiHidden/>
    <w:qFormat/>
    <w:uiPriority w:val="99"/>
    <w:rPr>
      <w:i/>
      <w:iCs/>
      <w:lang w:val="es-ES"/>
    </w:rPr>
  </w:style>
  <w:style w:type="character" w:styleId="237">
    <w:name w:val="line number"/>
    <w:semiHidden/>
    <w:unhideWhenUsed/>
    <w:qFormat/>
    <w:uiPriority w:val="99"/>
    <w:rPr>
      <w:lang w:val="es-ES"/>
    </w:rPr>
  </w:style>
  <w:style w:type="character" w:styleId="238">
    <w:name w:val="HTML Definition"/>
    <w:semiHidden/>
    <w:unhideWhenUsed/>
    <w:qFormat/>
    <w:uiPriority w:val="99"/>
    <w:rPr>
      <w:i/>
      <w:iCs/>
      <w:lang w:val="es-ES"/>
    </w:rPr>
  </w:style>
  <w:style w:type="character" w:styleId="239">
    <w:name w:val="HTML Typewriter"/>
    <w:semiHidden/>
    <w:unhideWhenUsed/>
    <w:qFormat/>
    <w:uiPriority w:val="99"/>
    <w:rPr>
      <w:rFonts w:ascii="Consolas" w:hAnsi="Consolas" w:cs="Consolas"/>
      <w:sz w:val="20"/>
      <w:szCs w:val="20"/>
      <w:lang w:val="es-ES"/>
    </w:rPr>
  </w:style>
  <w:style w:type="character" w:styleId="240">
    <w:name w:val="HTML Acronym"/>
    <w:semiHidden/>
    <w:unhideWhenUsed/>
    <w:qFormat/>
    <w:uiPriority w:val="99"/>
    <w:rPr>
      <w:lang w:val="es-ES"/>
    </w:rPr>
  </w:style>
  <w:style w:type="character" w:styleId="241">
    <w:name w:val="HTML Variable"/>
    <w:semiHidden/>
    <w:unhideWhenUsed/>
    <w:qFormat/>
    <w:uiPriority w:val="99"/>
    <w:rPr>
      <w:i/>
      <w:iCs/>
      <w:lang w:val="es-ES"/>
    </w:rPr>
  </w:style>
  <w:style w:type="character" w:styleId="242">
    <w:name w:val="Hyperlink"/>
    <w:unhideWhenUsed/>
    <w:qFormat/>
    <w:uiPriority w:val="9"/>
    <w:rPr>
      <w:color w:val="0000FF"/>
      <w:u w:val="single"/>
      <w:lang w:val="es-ES"/>
    </w:rPr>
  </w:style>
  <w:style w:type="character" w:styleId="243">
    <w:name w:val="HTML Code"/>
    <w:semiHidden/>
    <w:unhideWhenUsed/>
    <w:qFormat/>
    <w:uiPriority w:val="99"/>
    <w:rPr>
      <w:rFonts w:ascii="Consolas" w:hAnsi="Consolas" w:cs="Consolas"/>
      <w:sz w:val="20"/>
      <w:szCs w:val="20"/>
      <w:lang w:val="es-ES"/>
    </w:rPr>
  </w:style>
  <w:style w:type="character" w:styleId="244">
    <w:name w:val="annotation reference"/>
    <w:semiHidden/>
    <w:unhideWhenUsed/>
    <w:qFormat/>
    <w:uiPriority w:val="99"/>
    <w:rPr>
      <w:sz w:val="16"/>
      <w:szCs w:val="16"/>
      <w:lang w:val="es-ES"/>
    </w:rPr>
  </w:style>
  <w:style w:type="character" w:styleId="245">
    <w:name w:val="HTML Cite"/>
    <w:semiHidden/>
    <w:unhideWhenUsed/>
    <w:qFormat/>
    <w:uiPriority w:val="99"/>
    <w:rPr>
      <w:i/>
      <w:iCs/>
      <w:lang w:val="es-ES"/>
    </w:rPr>
  </w:style>
  <w:style w:type="character" w:styleId="246">
    <w:name w:val="footnote reference"/>
    <w:qFormat/>
    <w:uiPriority w:val="5"/>
    <w:rPr>
      <w:vertAlign w:val="superscript"/>
      <w:lang w:val="es-ES"/>
    </w:rPr>
  </w:style>
  <w:style w:type="character" w:styleId="247">
    <w:name w:val="HTML Keyboard"/>
    <w:semiHidden/>
    <w:unhideWhenUsed/>
    <w:qFormat/>
    <w:uiPriority w:val="99"/>
    <w:rPr>
      <w:rFonts w:ascii="Consolas" w:hAnsi="Consolas" w:cs="Consolas"/>
      <w:sz w:val="20"/>
      <w:szCs w:val="20"/>
      <w:lang w:val="es-ES"/>
    </w:rPr>
  </w:style>
  <w:style w:type="character" w:styleId="248">
    <w:name w:val="HTML Sample"/>
    <w:semiHidden/>
    <w:unhideWhenUsed/>
    <w:qFormat/>
    <w:uiPriority w:val="99"/>
    <w:rPr>
      <w:rFonts w:ascii="Consolas" w:hAnsi="Consolas" w:cs="Consolas"/>
      <w:sz w:val="24"/>
      <w:szCs w:val="24"/>
      <w:lang w:val="es-ES"/>
    </w:rPr>
  </w:style>
  <w:style w:type="character" w:customStyle="1" w:styleId="249">
    <w:name w:val="Heading 1 Char"/>
    <w:link w:val="3"/>
    <w:qFormat/>
    <w:uiPriority w:val="2"/>
    <w:rPr>
      <w:rFonts w:ascii="Verdana" w:hAnsi="Verdana" w:eastAsia="Times New Roman"/>
      <w:b/>
      <w:bCs/>
      <w:caps/>
      <w:color w:val="006283"/>
      <w:sz w:val="18"/>
      <w:szCs w:val="28"/>
      <w:lang w:val="es-ES"/>
    </w:rPr>
  </w:style>
  <w:style w:type="character" w:customStyle="1" w:styleId="250">
    <w:name w:val="Heading 5 Char"/>
    <w:link w:val="7"/>
    <w:qFormat/>
    <w:uiPriority w:val="2"/>
    <w:rPr>
      <w:rFonts w:ascii="Verdana" w:hAnsi="Verdana" w:eastAsia="Times New Roman"/>
      <w:b/>
      <w:color w:val="006283"/>
      <w:sz w:val="18"/>
      <w:szCs w:val="22"/>
      <w:lang w:val="es-ES"/>
    </w:rPr>
  </w:style>
  <w:style w:type="character" w:customStyle="1" w:styleId="251">
    <w:name w:val="Heading 2 Char"/>
    <w:link w:val="4"/>
    <w:qFormat/>
    <w:uiPriority w:val="2"/>
    <w:rPr>
      <w:rFonts w:ascii="Verdana" w:hAnsi="Verdana" w:eastAsia="Times New Roman"/>
      <w:b/>
      <w:bCs/>
      <w:color w:val="006283"/>
      <w:sz w:val="18"/>
      <w:szCs w:val="26"/>
      <w:lang w:val="es-ES"/>
    </w:rPr>
  </w:style>
  <w:style w:type="character" w:customStyle="1" w:styleId="252">
    <w:name w:val="Heading 3 Char"/>
    <w:link w:val="5"/>
    <w:qFormat/>
    <w:uiPriority w:val="2"/>
    <w:rPr>
      <w:rFonts w:ascii="Verdana" w:hAnsi="Verdana" w:eastAsia="Times New Roman"/>
      <w:b/>
      <w:bCs/>
      <w:color w:val="006283"/>
      <w:sz w:val="18"/>
      <w:szCs w:val="22"/>
      <w:lang w:val="es-ES"/>
    </w:rPr>
  </w:style>
  <w:style w:type="character" w:customStyle="1" w:styleId="253">
    <w:name w:val="Heading 4 Char"/>
    <w:link w:val="6"/>
    <w:qFormat/>
    <w:uiPriority w:val="2"/>
    <w:rPr>
      <w:rFonts w:ascii="Verdana" w:hAnsi="Verdana" w:eastAsia="Times New Roman"/>
      <w:b/>
      <w:bCs/>
      <w:iCs/>
      <w:color w:val="006283"/>
      <w:sz w:val="18"/>
      <w:szCs w:val="22"/>
      <w:lang w:val="es-ES"/>
    </w:rPr>
  </w:style>
  <w:style w:type="character" w:customStyle="1" w:styleId="254">
    <w:name w:val="Heading 6 Char"/>
    <w:link w:val="8"/>
    <w:qFormat/>
    <w:uiPriority w:val="2"/>
    <w:rPr>
      <w:rFonts w:ascii="Verdana" w:hAnsi="Verdana" w:eastAsia="Times New Roman"/>
      <w:b/>
      <w:iCs/>
      <w:color w:val="006283"/>
      <w:sz w:val="18"/>
      <w:szCs w:val="22"/>
      <w:lang w:val="es-ES"/>
    </w:rPr>
  </w:style>
  <w:style w:type="character" w:customStyle="1" w:styleId="255">
    <w:name w:val="Heading 7 Char"/>
    <w:link w:val="10"/>
    <w:qFormat/>
    <w:uiPriority w:val="2"/>
    <w:rPr>
      <w:rFonts w:ascii="Verdana" w:hAnsi="Verdana" w:eastAsia="Times New Roman"/>
      <w:b/>
      <w:iCs/>
      <w:color w:val="006283"/>
      <w:sz w:val="18"/>
      <w:szCs w:val="22"/>
      <w:lang w:val="es-ES"/>
    </w:rPr>
  </w:style>
  <w:style w:type="character" w:customStyle="1" w:styleId="256">
    <w:name w:val="Heading 8 Char"/>
    <w:link w:val="11"/>
    <w:qFormat/>
    <w:uiPriority w:val="2"/>
    <w:rPr>
      <w:rFonts w:ascii="Verdana" w:hAnsi="Verdana" w:eastAsia="Times New Roman"/>
      <w:b/>
      <w:i/>
      <w:color w:val="006283"/>
      <w:sz w:val="18"/>
      <w:lang w:val="es-ES"/>
    </w:rPr>
  </w:style>
  <w:style w:type="character" w:customStyle="1" w:styleId="257">
    <w:name w:val="Heading 9 Char"/>
    <w:link w:val="12"/>
    <w:qFormat/>
    <w:uiPriority w:val="2"/>
    <w:rPr>
      <w:rFonts w:ascii="Verdana" w:hAnsi="Verdana" w:eastAsia="Times New Roman"/>
      <w:b/>
      <w:iCs/>
      <w:color w:val="006283"/>
      <w:sz w:val="18"/>
      <w:u w:val="single"/>
      <w:lang w:val="es-ES"/>
    </w:rPr>
  </w:style>
  <w:style w:type="character" w:customStyle="1" w:styleId="258">
    <w:name w:val="Balloon Text Char"/>
    <w:link w:val="55"/>
    <w:semiHidden/>
    <w:qFormat/>
    <w:uiPriority w:val="99"/>
    <w:rPr>
      <w:rFonts w:ascii="Tahoma" w:hAnsi="Tahoma" w:cs="Tahoma"/>
      <w:sz w:val="16"/>
      <w:szCs w:val="16"/>
      <w:lang w:val="es-ES"/>
    </w:rPr>
  </w:style>
  <w:style w:type="paragraph" w:customStyle="1" w:styleId="259">
    <w:name w:val="Answer"/>
    <w:basedOn w:val="1"/>
    <w:link w:val="260"/>
    <w:qFormat/>
    <w:uiPriority w:val="6"/>
    <w:pPr>
      <w:spacing w:after="240"/>
      <w:ind w:left="1077"/>
    </w:pPr>
  </w:style>
  <w:style w:type="character" w:customStyle="1" w:styleId="260">
    <w:name w:val="Answer Char"/>
    <w:link w:val="259"/>
    <w:qFormat/>
    <w:uiPriority w:val="6"/>
    <w:rPr>
      <w:rFonts w:ascii="Verdana" w:hAnsi="Verdana"/>
      <w:sz w:val="18"/>
      <w:szCs w:val="22"/>
      <w:lang w:val="es-ES"/>
    </w:rPr>
  </w:style>
  <w:style w:type="character" w:customStyle="1" w:styleId="261">
    <w:name w:val="Body Text Char"/>
    <w:link w:val="9"/>
    <w:qFormat/>
    <w:uiPriority w:val="1"/>
    <w:rPr>
      <w:rFonts w:ascii="Verdana" w:hAnsi="Verdana"/>
      <w:sz w:val="18"/>
      <w:szCs w:val="22"/>
      <w:lang w:val="es-ES"/>
    </w:rPr>
  </w:style>
  <w:style w:type="character" w:customStyle="1" w:styleId="262">
    <w:name w:val="Body Text 2 Char"/>
    <w:link w:val="76"/>
    <w:qFormat/>
    <w:uiPriority w:val="1"/>
    <w:rPr>
      <w:rFonts w:ascii="Verdana" w:hAnsi="Verdana"/>
      <w:sz w:val="18"/>
      <w:szCs w:val="22"/>
      <w:lang w:val="es-ES"/>
    </w:rPr>
  </w:style>
  <w:style w:type="character" w:customStyle="1" w:styleId="263">
    <w:name w:val="Body Text 3 Char"/>
    <w:link w:val="32"/>
    <w:qFormat/>
    <w:uiPriority w:val="1"/>
    <w:rPr>
      <w:rFonts w:ascii="Verdana" w:hAnsi="Verdana"/>
      <w:sz w:val="18"/>
      <w:szCs w:val="16"/>
      <w:lang w:val="es-ES"/>
    </w:rPr>
  </w:style>
  <w:style w:type="character" w:customStyle="1" w:styleId="264">
    <w:name w:val="Footnote Text Char"/>
    <w:link w:val="53"/>
    <w:qFormat/>
    <w:uiPriority w:val="5"/>
    <w:rPr>
      <w:rFonts w:ascii="Verdana" w:hAnsi="Verdana"/>
      <w:sz w:val="16"/>
      <w:szCs w:val="18"/>
      <w:lang w:val="es-ES" w:eastAsia="en-GB"/>
    </w:rPr>
  </w:style>
  <w:style w:type="character" w:customStyle="1" w:styleId="265">
    <w:name w:val="Endnote Text Char"/>
    <w:link w:val="52"/>
    <w:qFormat/>
    <w:uiPriority w:val="49"/>
    <w:rPr>
      <w:rFonts w:ascii="Verdana" w:hAnsi="Verdana"/>
      <w:sz w:val="16"/>
      <w:lang w:val="es-ES"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s-ES"/>
    </w:rPr>
  </w:style>
  <w:style w:type="character" w:customStyle="1" w:styleId="268">
    <w:name w:val="Footer Char"/>
    <w:link w:val="56"/>
    <w:qFormat/>
    <w:uiPriority w:val="3"/>
    <w:rPr>
      <w:rFonts w:ascii="Verdana" w:hAnsi="Verdana"/>
      <w:sz w:val="18"/>
      <w:szCs w:val="18"/>
      <w:lang w:val="es-ES"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s-ES" w:eastAsia="en-GB"/>
    </w:rPr>
  </w:style>
  <w:style w:type="paragraph" w:styleId="271">
    <w:name w:val="List Paragraph"/>
    <w:basedOn w:val="1"/>
    <w:semiHidden/>
    <w:qFormat/>
    <w:uiPriority w:val="59"/>
    <w:pPr>
      <w:ind w:left="720"/>
      <w:contextualSpacing/>
    </w:pPr>
  </w:style>
  <w:style w:type="paragraph" w:customStyle="1" w:styleId="272">
    <w:name w:val="Quotation"/>
    <w:basedOn w:val="1"/>
    <w:qFormat/>
    <w:uiPriority w:val="5"/>
    <w:pPr>
      <w:spacing w:after="240"/>
      <w:ind w:left="567" w:right="567"/>
    </w:pPr>
    <w:rPr>
      <w:szCs w:val="18"/>
      <w:lang w:eastAsia="en-GB"/>
    </w:rPr>
  </w:style>
  <w:style w:type="paragraph" w:customStyle="1" w:styleId="273">
    <w:name w:val="Quotation Double"/>
    <w:basedOn w:val="1"/>
    <w:qFormat/>
    <w:uiPriority w:val="5"/>
    <w:pPr>
      <w:spacing w:after="240"/>
      <w:ind w:left="1134" w:right="1134"/>
    </w:pPr>
    <w:rPr>
      <w:szCs w:val="18"/>
      <w:lang w:eastAsia="en-GB"/>
    </w:rPr>
  </w:style>
  <w:style w:type="character" w:customStyle="1" w:styleId="274">
    <w:name w:val="Subtitle Char"/>
    <w:link w:val="65"/>
    <w:qFormat/>
    <w:uiPriority w:val="6"/>
    <w:rPr>
      <w:rFonts w:ascii="Verdana" w:hAnsi="Verdana" w:eastAsia="Times New Roman"/>
      <w:b/>
      <w:iCs/>
      <w:sz w:val="18"/>
      <w:szCs w:val="24"/>
      <w:lang w:val="es-ES"/>
    </w:rPr>
  </w:style>
  <w:style w:type="paragraph" w:customStyle="1" w:styleId="275">
    <w:name w:val="SummaryHeader"/>
    <w:basedOn w:val="1"/>
    <w:qFormat/>
    <w:uiPriority w:val="4"/>
    <w:pPr>
      <w:spacing w:after="240"/>
      <w:outlineLvl w:val="0"/>
    </w:pPr>
    <w:rPr>
      <w:b/>
      <w:caps/>
      <w:color w:val="006283"/>
    </w:rPr>
  </w:style>
  <w:style w:type="paragraph" w:customStyle="1" w:styleId="276">
    <w:name w:val="SummarySubheader"/>
    <w:basedOn w:val="1"/>
    <w:qFormat/>
    <w:uiPriority w:val="4"/>
    <w:pPr>
      <w:spacing w:after="240"/>
      <w:outlineLvl w:val="1"/>
    </w:pPr>
    <w:rPr>
      <w:b/>
      <w:color w:val="006283"/>
    </w:rPr>
  </w:style>
  <w:style w:type="paragraph" w:customStyle="1" w:styleId="277">
    <w:name w:val="SummaryText"/>
    <w:basedOn w:val="1"/>
    <w:qFormat/>
    <w:uiPriority w:val="4"/>
    <w:pPr>
      <w:numPr>
        <w:ilvl w:val="0"/>
        <w:numId w:val="6"/>
      </w:numPr>
      <w:spacing w:after="240"/>
      <w:ind w:left="0" w:firstLine="0"/>
    </w:pPr>
  </w:style>
  <w:style w:type="character" w:customStyle="1" w:styleId="278">
    <w:name w:val="Title Char"/>
    <w:link w:val="84"/>
    <w:qFormat/>
    <w:uiPriority w:val="5"/>
    <w:rPr>
      <w:rFonts w:ascii="Verdana" w:hAnsi="Verdana" w:eastAsia="Times New Roman"/>
      <w:b/>
      <w:caps/>
      <w:color w:val="006283"/>
      <w:kern w:val="28"/>
      <w:sz w:val="18"/>
      <w:szCs w:val="52"/>
      <w:lang w:val="es-ES"/>
    </w:rPr>
  </w:style>
  <w:style w:type="paragraph" w:customStyle="1" w:styleId="279">
    <w:name w:val="Title 2"/>
    <w:basedOn w:val="1"/>
    <w:next w:val="1"/>
    <w:qFormat/>
    <w:uiPriority w:val="5"/>
    <w:pPr>
      <w:spacing w:after="360"/>
      <w:jc w:val="center"/>
    </w:pPr>
    <w:rPr>
      <w:caps/>
      <w:color w:val="006283"/>
      <w:szCs w:val="18"/>
      <w:lang w:eastAsia="en-GB"/>
    </w:rPr>
  </w:style>
  <w:style w:type="paragraph" w:customStyle="1" w:styleId="280">
    <w:name w:val="Title 3"/>
    <w:basedOn w:val="1"/>
    <w:next w:val="1"/>
    <w:qFormat/>
    <w:uiPriority w:val="5"/>
    <w:pPr>
      <w:spacing w:after="360"/>
      <w:jc w:val="center"/>
    </w:pPr>
    <w:rPr>
      <w:i/>
      <w:color w:val="006283"/>
      <w:szCs w:val="18"/>
      <w:lang w:eastAsia="en-GB"/>
    </w:rPr>
  </w:style>
  <w:style w:type="paragraph" w:customStyle="1" w:styleId="281">
    <w:name w:val="Title Country"/>
    <w:basedOn w:val="1"/>
    <w:next w:val="1"/>
    <w:qFormat/>
    <w:uiPriority w:val="5"/>
    <w:pPr>
      <w:spacing w:after="360"/>
      <w:jc w:val="center"/>
    </w:pPr>
    <w:rPr>
      <w:smallCaps/>
      <w:color w:val="006283"/>
      <w:szCs w:val="18"/>
      <w:lang w:eastAsia="en-GB"/>
    </w:rPr>
  </w:style>
  <w:style w:type="paragraph" w:customStyle="1" w:styleId="282">
    <w:name w:val="TOC Heading"/>
    <w:basedOn w:val="1"/>
    <w:next w:val="1"/>
    <w:qFormat/>
    <w:uiPriority w:val="39"/>
    <w:pPr>
      <w:spacing w:before="240"/>
      <w:jc w:val="center"/>
    </w:pPr>
    <w:rPr>
      <w:rFonts w:eastAsia="Times New Roman"/>
      <w:b/>
      <w:bCs/>
      <w:szCs w:val="28"/>
      <w:lang w:eastAsia="en-GB"/>
    </w:rPr>
  </w:style>
  <w:style w:type="table" w:customStyle="1" w:styleId="283">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4">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table" w:customStyle="1" w:styleId="285">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s-ES"/>
    </w:rPr>
  </w:style>
  <w:style w:type="character" w:customStyle="1" w:styleId="290">
    <w:name w:val="Body Text Indent Char"/>
    <w:link w:val="35"/>
    <w:semiHidden/>
    <w:qFormat/>
    <w:uiPriority w:val="99"/>
    <w:rPr>
      <w:rFonts w:ascii="Verdana" w:hAnsi="Verdana"/>
      <w:sz w:val="18"/>
      <w:szCs w:val="22"/>
      <w:lang w:val="es-ES"/>
    </w:rPr>
  </w:style>
  <w:style w:type="character" w:customStyle="1" w:styleId="291">
    <w:name w:val="Body Text First Indent 2 Char"/>
    <w:link w:val="87"/>
    <w:semiHidden/>
    <w:qFormat/>
    <w:uiPriority w:val="99"/>
    <w:rPr>
      <w:rFonts w:ascii="Verdana" w:hAnsi="Verdana"/>
      <w:sz w:val="18"/>
      <w:szCs w:val="22"/>
      <w:lang w:val="es-ES"/>
    </w:rPr>
  </w:style>
  <w:style w:type="character" w:customStyle="1" w:styleId="292">
    <w:name w:val="Body Text Indent 2 Char"/>
    <w:link w:val="51"/>
    <w:semiHidden/>
    <w:qFormat/>
    <w:uiPriority w:val="99"/>
    <w:rPr>
      <w:rFonts w:ascii="Verdana" w:hAnsi="Verdana"/>
      <w:sz w:val="18"/>
      <w:szCs w:val="22"/>
      <w:lang w:val="es-ES"/>
    </w:rPr>
  </w:style>
  <w:style w:type="character" w:customStyle="1" w:styleId="293">
    <w:name w:val="Body Text Indent 3 Char"/>
    <w:link w:val="70"/>
    <w:semiHidden/>
    <w:qFormat/>
    <w:uiPriority w:val="99"/>
    <w:rPr>
      <w:rFonts w:ascii="Verdana" w:hAnsi="Verdana"/>
      <w:sz w:val="16"/>
      <w:szCs w:val="16"/>
      <w:lang w:val="es-ES"/>
    </w:rPr>
  </w:style>
  <w:style w:type="character" w:customStyle="1" w:styleId="294">
    <w:name w:val="Book Title"/>
    <w:semiHidden/>
    <w:qFormat/>
    <w:uiPriority w:val="99"/>
    <w:rPr>
      <w:b/>
      <w:bCs/>
      <w:smallCaps/>
      <w:spacing w:val="5"/>
      <w:lang w:val="es-ES"/>
    </w:rPr>
  </w:style>
  <w:style w:type="character" w:customStyle="1" w:styleId="295">
    <w:name w:val="Closing Char"/>
    <w:link w:val="33"/>
    <w:semiHidden/>
    <w:qFormat/>
    <w:uiPriority w:val="99"/>
    <w:rPr>
      <w:rFonts w:ascii="Verdana" w:hAnsi="Verdana"/>
      <w:sz w:val="18"/>
      <w:szCs w:val="22"/>
      <w:lang w:val="es-ES"/>
    </w:rPr>
  </w:style>
  <w:style w:type="character" w:customStyle="1" w:styleId="296">
    <w:name w:val="Comment Text Char"/>
    <w:link w:val="29"/>
    <w:qFormat/>
    <w:uiPriority w:val="99"/>
    <w:rPr>
      <w:rFonts w:ascii="Verdana" w:hAnsi="Verdana"/>
      <w:lang w:val="es-ES"/>
    </w:rPr>
  </w:style>
  <w:style w:type="character" w:customStyle="1" w:styleId="297">
    <w:name w:val="Comment Subject Char"/>
    <w:link w:val="85"/>
    <w:qFormat/>
    <w:uiPriority w:val="99"/>
    <w:rPr>
      <w:rFonts w:ascii="Verdana" w:hAnsi="Verdana"/>
      <w:b/>
      <w:bCs/>
      <w:lang w:val="es-ES"/>
    </w:rPr>
  </w:style>
  <w:style w:type="character" w:customStyle="1" w:styleId="298">
    <w:name w:val="Date Char"/>
    <w:link w:val="50"/>
    <w:semiHidden/>
    <w:qFormat/>
    <w:uiPriority w:val="99"/>
    <w:rPr>
      <w:rFonts w:ascii="Verdana" w:hAnsi="Verdana"/>
      <w:sz w:val="18"/>
      <w:szCs w:val="22"/>
      <w:lang w:val="es-ES"/>
    </w:rPr>
  </w:style>
  <w:style w:type="character" w:customStyle="1" w:styleId="299">
    <w:name w:val="Document Map Char"/>
    <w:link w:val="27"/>
    <w:semiHidden/>
    <w:qFormat/>
    <w:uiPriority w:val="99"/>
    <w:rPr>
      <w:rFonts w:ascii="Tahoma" w:hAnsi="Tahoma" w:cs="Tahoma"/>
      <w:sz w:val="16"/>
      <w:szCs w:val="16"/>
      <w:lang w:val="es-ES"/>
    </w:rPr>
  </w:style>
  <w:style w:type="character" w:customStyle="1" w:styleId="300">
    <w:name w:val="E-mail Signature Char"/>
    <w:link w:val="20"/>
    <w:semiHidden/>
    <w:qFormat/>
    <w:uiPriority w:val="99"/>
    <w:rPr>
      <w:rFonts w:ascii="Verdana" w:hAnsi="Verdana"/>
      <w:sz w:val="18"/>
      <w:szCs w:val="22"/>
      <w:lang w:val="es-ES"/>
    </w:rPr>
  </w:style>
  <w:style w:type="character" w:customStyle="1" w:styleId="301">
    <w:name w:val="HTML Address Char"/>
    <w:link w:val="41"/>
    <w:semiHidden/>
    <w:qFormat/>
    <w:uiPriority w:val="99"/>
    <w:rPr>
      <w:rFonts w:ascii="Verdana" w:hAnsi="Verdana"/>
      <w:i/>
      <w:iCs/>
      <w:sz w:val="18"/>
      <w:szCs w:val="22"/>
      <w:lang w:val="es-ES"/>
    </w:rPr>
  </w:style>
  <w:style w:type="character" w:customStyle="1" w:styleId="302">
    <w:name w:val="HTML Preformatted Char"/>
    <w:link w:val="80"/>
    <w:semiHidden/>
    <w:qFormat/>
    <w:uiPriority w:val="99"/>
    <w:rPr>
      <w:rFonts w:ascii="Consolas" w:hAnsi="Consolas" w:cs="Consolas"/>
      <w:lang w:val="es-ES"/>
    </w:rPr>
  </w:style>
  <w:style w:type="character" w:customStyle="1" w:styleId="303">
    <w:name w:val="Intense Emphasis"/>
    <w:semiHidden/>
    <w:qFormat/>
    <w:uiPriority w:val="99"/>
    <w:rPr>
      <w:b/>
      <w:bCs/>
      <w:i/>
      <w:iCs/>
      <w:color w:val="4F81BD"/>
      <w:lang w:val="es-ES"/>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s-ES"/>
    </w:rPr>
  </w:style>
  <w:style w:type="character" w:customStyle="1" w:styleId="306">
    <w:name w:val="Intense Reference"/>
    <w:semiHidden/>
    <w:qFormat/>
    <w:uiPriority w:val="99"/>
    <w:rPr>
      <w:b/>
      <w:bCs/>
      <w:smallCaps/>
      <w:color w:val="C0504D"/>
      <w:spacing w:val="5"/>
      <w:u w:val="single"/>
      <w:lang w:val="es-ES"/>
    </w:rPr>
  </w:style>
  <w:style w:type="character" w:customStyle="1" w:styleId="307">
    <w:name w:val="Macro Text Char"/>
    <w:link w:val="2"/>
    <w:semiHidden/>
    <w:qFormat/>
    <w:uiPriority w:val="99"/>
    <w:rPr>
      <w:rFonts w:ascii="Consolas" w:hAnsi="Consolas" w:cs="Consolas"/>
      <w:lang w:val="es-ES"/>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s-ES"/>
    </w:rPr>
  </w:style>
  <w:style w:type="paragraph" w:styleId="309">
    <w:name w:val="No Spacing"/>
    <w:semiHidden/>
    <w:qFormat/>
    <w:uiPriority w:val="1"/>
    <w:pPr>
      <w:jc w:val="both"/>
    </w:pPr>
    <w:rPr>
      <w:rFonts w:ascii="Verdana" w:hAnsi="Verdana" w:eastAsia="Calibri" w:cs="Times New Roman"/>
      <w:sz w:val="18"/>
      <w:szCs w:val="22"/>
      <w:lang w:val="es-ES" w:eastAsia="en-US" w:bidi="ar-SA"/>
    </w:rPr>
  </w:style>
  <w:style w:type="character" w:customStyle="1" w:styleId="310">
    <w:name w:val="Note Heading Char"/>
    <w:link w:val="17"/>
    <w:semiHidden/>
    <w:qFormat/>
    <w:uiPriority w:val="99"/>
    <w:rPr>
      <w:rFonts w:ascii="Verdana" w:hAnsi="Verdana"/>
      <w:sz w:val="18"/>
      <w:szCs w:val="22"/>
      <w:lang w:val="es-ES"/>
    </w:rPr>
  </w:style>
  <w:style w:type="character" w:styleId="311">
    <w:name w:val="Placeholder Text"/>
    <w:semiHidden/>
    <w:qFormat/>
    <w:uiPriority w:val="99"/>
    <w:rPr>
      <w:color w:val="808080"/>
      <w:lang w:val="es-ES"/>
    </w:rPr>
  </w:style>
  <w:style w:type="character" w:customStyle="1" w:styleId="312">
    <w:name w:val="Plain Text Char"/>
    <w:link w:val="45"/>
    <w:qFormat/>
    <w:uiPriority w:val="99"/>
    <w:rPr>
      <w:rFonts w:ascii="Consolas" w:hAnsi="Consolas" w:cs="Consolas"/>
      <w:sz w:val="21"/>
      <w:szCs w:val="21"/>
      <w:lang w:val="es-ES"/>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s-ES"/>
    </w:rPr>
  </w:style>
  <w:style w:type="character" w:customStyle="1" w:styleId="315">
    <w:name w:val="Salutation Char"/>
    <w:link w:val="31"/>
    <w:semiHidden/>
    <w:qFormat/>
    <w:uiPriority w:val="99"/>
    <w:rPr>
      <w:rFonts w:ascii="Verdana" w:hAnsi="Verdana"/>
      <w:sz w:val="18"/>
      <w:szCs w:val="22"/>
      <w:lang w:val="es-ES"/>
    </w:rPr>
  </w:style>
  <w:style w:type="character" w:customStyle="1" w:styleId="316">
    <w:name w:val="Signature Char"/>
    <w:link w:val="59"/>
    <w:semiHidden/>
    <w:qFormat/>
    <w:uiPriority w:val="99"/>
    <w:rPr>
      <w:rFonts w:ascii="Verdana" w:hAnsi="Verdana"/>
      <w:sz w:val="18"/>
      <w:szCs w:val="22"/>
      <w:lang w:val="es-ES"/>
    </w:rPr>
  </w:style>
  <w:style w:type="character" w:customStyle="1" w:styleId="317">
    <w:name w:val="Subtle Emphasis"/>
    <w:semiHidden/>
    <w:qFormat/>
    <w:uiPriority w:val="99"/>
    <w:rPr>
      <w:i/>
      <w:iCs/>
      <w:color w:val="808080"/>
      <w:lang w:val="es-ES"/>
    </w:rPr>
  </w:style>
  <w:style w:type="character" w:customStyle="1" w:styleId="318">
    <w:name w:val="Subtle Reference"/>
    <w:semiHidden/>
    <w:qFormat/>
    <w:uiPriority w:val="99"/>
    <w:rPr>
      <w:smallCaps/>
      <w:color w:val="C0504D"/>
      <w:u w:val="single"/>
      <w:lang w:val="es-ES"/>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itus xmlns="http://schemas.titus.com/TitusProperties/">
  <TitusGUID xmlns="">f7bacae2-dd7c-44b8-815b-5b629b99031c</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44D33926-87FB-4199-877C-08967DCD4E28}">
  <ds:schemaRefs/>
</ds:datastoreItem>
</file>

<file path=docProps/app.xml><?xml version="1.0" encoding="utf-8"?>
<Properties xmlns="http://schemas.openxmlformats.org/officeDocument/2006/extended-properties" xmlns:vt="http://schemas.openxmlformats.org/officeDocument/2006/docPropsVTypes">
  <Template>Normal.dotm</Template>
  <Company>OMC - WTO</Company>
  <Pages>2</Pages>
  <Words>508</Words>
  <Characters>3054</Characters>
  <Lines>31</Lines>
  <Paragraphs>8</Paragraphs>
  <TotalTime>0</TotalTime>
  <ScaleCrop>false</ScaleCrop>
  <LinksUpToDate>false</LinksUpToDate>
  <CharactersWithSpaces>3526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2025-05-13T07:11:00Z</dcterms:created>
  <dc:creator>Carandang, Edward</dc:creator>
  <dc:description>LDIMD - DTU</dc:description>
  <cp:lastModifiedBy> 譞譞</cp:lastModifiedBy>
  <dcterms:modified xsi:type="dcterms:W3CDTF">2025-07-03T15:55:11Z</dcterms:modified>
  <dc:title>NOTIFICACIÓN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G/TBT/N/PER/168</vt:lpwstr>
  </property>
  <property fmtid="{D5CDD505-2E9C-101B-9397-08002B2CF9AE}" pid="3" name="TitusGUID">
    <vt:lpwstr>f7bacae2-dd7c-44b8-815b-5b629b99031c</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5BB0C94096D54836B0B50C9C206000D0_12</vt:lpwstr>
  </property>
</Properties>
</file>