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66CE1">
      <w:pPr>
        <w:pStyle w:val="84"/>
        <w:rPr>
          <w:caps w:val="0"/>
          <w:kern w:val="0"/>
        </w:rPr>
      </w:pPr>
      <w:r>
        <w:rPr>
          <w:caps w:val="0"/>
          <w:kern w:val="0"/>
        </w:rPr>
        <w:t>NOTIFICATION</w:t>
      </w:r>
    </w:p>
    <w:p w14:paraId="6BDBFE94">
      <w:pPr>
        <w:jc w:val="center"/>
      </w:pPr>
      <w:r>
        <w:t>The following notification is being circulated in accordance with Article 10.6</w:t>
      </w:r>
    </w:p>
    <w:p w14:paraId="71C263E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EDC75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49809E84">
            <w:pPr>
              <w:spacing w:before="120" w:after="120"/>
              <w:jc w:val="left"/>
            </w:pPr>
            <w:r>
              <w:rPr>
                <w:b/>
              </w:rPr>
              <w:t>1.</w:t>
            </w:r>
          </w:p>
        </w:tc>
        <w:tc>
          <w:tcPr>
            <w:tcW w:w="8546" w:type="dxa"/>
            <w:tcBorders>
              <w:bottom w:val="single" w:color="auto" w:sz="6" w:space="0"/>
            </w:tcBorders>
            <w:shd w:val="clear" w:color="auto" w:fill="auto"/>
          </w:tcPr>
          <w:p w14:paraId="664E0DEF">
            <w:pPr>
              <w:spacing w:before="120" w:after="120"/>
            </w:pPr>
            <w:r>
              <w:rPr>
                <w:b/>
              </w:rPr>
              <w:t>Notifying Member:</w:t>
            </w:r>
            <w:r>
              <w:t xml:space="preserve"> </w:t>
            </w:r>
            <w:r>
              <w:rPr>
                <w:u w:val="single"/>
              </w:rPr>
              <w:t>THE STATE OF KUWAIT</w:t>
            </w:r>
          </w:p>
          <w:p w14:paraId="5B797DD0">
            <w:pPr>
              <w:spacing w:after="120"/>
            </w:pPr>
            <w:r>
              <w:rPr>
                <w:b/>
              </w:rPr>
              <w:t>If applicable, name of local government involved (Article 3.2 and 7.2):</w:t>
            </w:r>
            <w:r>
              <w:t xml:space="preserve"> </w:t>
            </w:r>
          </w:p>
        </w:tc>
      </w:tr>
      <w:tr w14:paraId="6F94D06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8CAB31">
            <w:pPr>
              <w:spacing w:before="120" w:after="120"/>
              <w:jc w:val="left"/>
            </w:pPr>
            <w:r>
              <w:rPr>
                <w:b/>
              </w:rPr>
              <w:t>2.</w:t>
            </w:r>
          </w:p>
        </w:tc>
        <w:tc>
          <w:tcPr>
            <w:tcW w:w="8546" w:type="dxa"/>
            <w:tcBorders>
              <w:top w:val="single" w:color="auto" w:sz="6" w:space="0"/>
              <w:bottom w:val="single" w:color="auto" w:sz="6" w:space="0"/>
            </w:tcBorders>
            <w:shd w:val="clear" w:color="auto" w:fill="auto"/>
          </w:tcPr>
          <w:p w14:paraId="119054B0">
            <w:pPr>
              <w:spacing w:before="120" w:after="120"/>
            </w:pPr>
            <w:r>
              <w:rPr>
                <w:b/>
              </w:rPr>
              <w:t>Agency responsible:</w:t>
            </w:r>
            <w:r>
              <w:t xml:space="preserve"> </w:t>
            </w:r>
          </w:p>
          <w:p w14:paraId="5A1B4201">
            <w:r>
              <w:t>Public Authority for Industry</w:t>
            </w:r>
          </w:p>
          <w:p w14:paraId="65D7E240">
            <w:pPr>
              <w:spacing w:after="120"/>
            </w:pPr>
            <w:r>
              <w:t>Standard and Metrology Department (KOWSMD)</w:t>
            </w:r>
          </w:p>
          <w:p w14:paraId="77E0366C">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A1A90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B0D0E4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EE8F561">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5A480C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82C7823">
            <w:pPr>
              <w:spacing w:before="120" w:after="120"/>
              <w:jc w:val="left"/>
            </w:pPr>
            <w:r>
              <w:rPr>
                <w:b/>
              </w:rPr>
              <w:t>4.</w:t>
            </w:r>
          </w:p>
        </w:tc>
        <w:tc>
          <w:tcPr>
            <w:tcW w:w="8546" w:type="dxa"/>
            <w:tcBorders>
              <w:top w:val="single" w:color="auto" w:sz="6" w:space="0"/>
              <w:bottom w:val="single" w:color="auto" w:sz="6" w:space="0"/>
            </w:tcBorders>
            <w:shd w:val="clear" w:color="auto" w:fill="auto"/>
          </w:tcPr>
          <w:p w14:paraId="5D09C143">
            <w:pPr>
              <w:spacing w:before="120" w:after="120"/>
            </w:pPr>
            <w:r>
              <w:rPr>
                <w:b/>
              </w:rPr>
              <w:t>Products covered (HS or CCCN where applicable, otherwise national tariff heading. ICS numbers may be provided in addition, where applicable):</w:t>
            </w:r>
            <w:r>
              <w:t xml:space="preserve"> Plugs and socket-outlets for household and similar purposes - Part 1: General requirements" (ICS 29.120.30) Plugs, socket-outlets, couplers</w:t>
            </w:r>
          </w:p>
        </w:tc>
      </w:tr>
      <w:tr w14:paraId="70BAD0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916FFBA">
            <w:pPr>
              <w:spacing w:before="120" w:after="120"/>
              <w:jc w:val="left"/>
            </w:pPr>
            <w:r>
              <w:rPr>
                <w:b/>
              </w:rPr>
              <w:t>5.</w:t>
            </w:r>
          </w:p>
        </w:tc>
        <w:tc>
          <w:tcPr>
            <w:tcW w:w="8546" w:type="dxa"/>
            <w:tcBorders>
              <w:top w:val="single" w:color="auto" w:sz="6" w:space="0"/>
              <w:bottom w:val="single" w:color="auto" w:sz="6" w:space="0"/>
            </w:tcBorders>
            <w:shd w:val="clear" w:color="auto" w:fill="auto"/>
          </w:tcPr>
          <w:p w14:paraId="06314555">
            <w:pPr>
              <w:spacing w:before="120" w:after="120"/>
            </w:pPr>
            <w:r>
              <w:rPr>
                <w:b/>
              </w:rPr>
              <w:t>Title, number of pages and language(s) of the notified document:</w:t>
            </w:r>
            <w:r>
              <w:t xml:space="preserve"> Plugs and socket-outlets for household and similar purposes - Part 1: General requirements; (196 page(s), in English)</w:t>
            </w:r>
          </w:p>
        </w:tc>
      </w:tr>
      <w:tr w14:paraId="570B7D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D6A75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224206F2">
            <w:pPr>
              <w:spacing w:before="120" w:after="120"/>
              <w:rPr>
                <w:b/>
              </w:rPr>
            </w:pPr>
            <w:r>
              <w:rPr>
                <w:b/>
              </w:rPr>
              <w:t>Description of content:</w:t>
            </w:r>
            <w:r>
              <w:t xml:space="preserve">  IEC 60884-1:2022 applies to plugs and fixed or portable socket-outlets for AC only, with or without earthing contact, with a rated voltage greater than 50 V but not exceeding 440 V and a rated current not exceeding 32 A, intended for household and similar purposes, either indoors or outdoors.</w:t>
            </w:r>
          </w:p>
          <w:p w14:paraId="5A11380C">
            <w:pPr>
              <w:spacing w:before="120" w:after="120"/>
            </w:pPr>
            <w:r>
              <w:t>Compatible plugs and socket-outlets, when combined, form a plug and socket-outlet system. Standardized systems used around the world are reported in IEC/TR 60083.</w:t>
            </w:r>
          </w:p>
          <w:p w14:paraId="619FFECC">
            <w:pPr>
              <w:spacing w:before="120" w:after="120"/>
            </w:pPr>
            <w:r>
              <w:t>The rated current is limited to 16 A maximum for accessories provided with screwless-type terminals.</w:t>
            </w:r>
          </w:p>
          <w:p w14:paraId="51FEBB2A">
            <w:pPr>
              <w:spacing w:before="120" w:after="120"/>
            </w:pPr>
            <w:r>
              <w:t>This fourth edition cancels and replaces the third edition published in 2002, Amendment 1:2006 and Amendment 2:2013. This edition constitutes a technical revision.</w:t>
            </w:r>
          </w:p>
          <w:p w14:paraId="345F190B">
            <w:pPr>
              <w:spacing w:before="120" w:after="120"/>
            </w:pPr>
            <w:r>
              <w:t>This edition includes the following significant technical changes with respect to the previous edition:</w:t>
            </w:r>
          </w:p>
          <w:p w14:paraId="3F508C38">
            <w:pPr>
              <w:spacing w:before="120" w:after="120"/>
            </w:pPr>
            <w:r>
              <w:t>plugs and socket-outlets incorporating pilot lights;</w:t>
            </w:r>
          </w:p>
          <w:p w14:paraId="1020164A">
            <w:pPr>
              <w:spacing w:before="120" w:after="120"/>
            </w:pPr>
            <w:r>
              <w:t>crimped connections in accessories;</w:t>
            </w:r>
          </w:p>
          <w:p w14:paraId="3A03D579">
            <w:pPr>
              <w:spacing w:before="120" w:after="120"/>
            </w:pPr>
            <w:r>
              <w:t>insulation piercing terminals (IPT);</w:t>
            </w:r>
          </w:p>
          <w:p w14:paraId="40214C76">
            <w:pPr>
              <w:spacing w:before="120" w:after="120"/>
            </w:pPr>
            <w:r>
              <w:t>accessories to be used with American Wire Gauge (AWG) cables;</w:t>
            </w:r>
          </w:p>
          <w:p w14:paraId="587F2BF9">
            <w:pPr>
              <w:spacing w:before="120" w:after="120"/>
            </w:pPr>
            <w:r>
              <w:t>accessories used in T° below −5 °C down to and including −45 °C;</w:t>
            </w:r>
          </w:p>
          <w:p w14:paraId="21C6D8E2">
            <w:pPr>
              <w:spacing w:before="120" w:after="120"/>
            </w:pPr>
            <w:r>
              <w:t>accessories used in T° above +40 °C up to and including +70 °C;</w:t>
            </w:r>
          </w:p>
          <w:p w14:paraId="647B1F61">
            <w:pPr>
              <w:spacing w:before="120" w:after="120"/>
            </w:pPr>
            <w:r>
              <w:t>plugs and socket-outlets for high load (HL);</w:t>
            </w:r>
          </w:p>
          <w:p w14:paraId="626FBECD">
            <w:pPr>
              <w:spacing w:before="120" w:after="120"/>
            </w:pPr>
            <w:r>
              <w:t>clarification of some definitions;</w:t>
            </w:r>
          </w:p>
          <w:p w14:paraId="73F7B442">
            <w:pPr>
              <w:spacing w:before="120" w:after="120"/>
            </w:pPr>
            <w:r>
              <w:t>durability of markings test;</w:t>
            </w:r>
          </w:p>
          <w:p w14:paraId="00CB3680">
            <w:pPr>
              <w:spacing w:before="120" w:after="120"/>
            </w:pPr>
            <w:r>
              <w:t>introduction of thermal monitoring in the plug;</w:t>
            </w:r>
          </w:p>
          <w:p w14:paraId="0EF67CFB">
            <w:pPr>
              <w:spacing w:before="120" w:after="120"/>
            </w:pPr>
            <w:r>
              <w:t>requirements for shutters in portable socket-outlets;</w:t>
            </w:r>
          </w:p>
          <w:p w14:paraId="212570AB">
            <w:pPr>
              <w:spacing w:before="120" w:after="120"/>
            </w:pPr>
            <w:r>
              <w:t>test walls for the verification of ingress of water;</w:t>
            </w:r>
          </w:p>
          <w:p w14:paraId="6F7428BD">
            <w:pPr>
              <w:spacing w:before="120" w:after="120"/>
              <w:rPr>
                <w:b/>
              </w:rPr>
            </w:pPr>
            <w:r>
              <w:t>rewriting of the temperature rise clause</w:t>
            </w:r>
          </w:p>
        </w:tc>
      </w:tr>
      <w:tr w14:paraId="029677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ECA8E61">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C513D3">
            <w:pPr>
              <w:spacing w:before="120" w:after="120"/>
              <w:rPr>
                <w:b/>
              </w:rPr>
            </w:pPr>
            <w:r>
              <w:rPr>
                <w:b/>
              </w:rPr>
              <w:t>Objective and rationale, including the nature of urgent problems where applicable:</w:t>
            </w:r>
            <w:r>
              <w:t xml:space="preserve"> Protection of human health or safety</w:t>
            </w:r>
          </w:p>
        </w:tc>
      </w:tr>
      <w:tr w14:paraId="2693529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7D8C9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28887141">
            <w:pPr>
              <w:spacing w:before="120" w:after="120"/>
              <w:rPr>
                <w:bCs/>
              </w:rPr>
            </w:pPr>
            <w:r>
              <w:rPr>
                <w:b/>
              </w:rPr>
              <w:t>Relevant documents:</w:t>
            </w:r>
            <w:r>
              <w:t xml:space="preserve"> </w:t>
            </w:r>
          </w:p>
          <w:p w14:paraId="156D8BA7">
            <w:pPr>
              <w:spacing w:before="120" w:after="120"/>
            </w:pPr>
            <w:r>
              <w:t>GSO IEC 60884-1:2024</w:t>
            </w:r>
            <w:bookmarkStart w:id="11" w:name="_GoBack"/>
            <w:bookmarkEnd w:id="11"/>
          </w:p>
        </w:tc>
      </w:tr>
      <w:tr w14:paraId="5744C23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CD5662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21BC5EC1">
            <w:pPr>
              <w:spacing w:before="120" w:after="120"/>
            </w:pPr>
            <w:r>
              <w:rPr>
                <w:b/>
              </w:rPr>
              <w:t>Proposed date of adoption:</w:t>
            </w:r>
            <w:r>
              <w:t xml:space="preserve"> 30 days from final date for comments</w:t>
            </w:r>
          </w:p>
          <w:p w14:paraId="528BC656">
            <w:pPr>
              <w:spacing w:after="120"/>
            </w:pPr>
            <w:r>
              <w:rPr>
                <w:b/>
              </w:rPr>
              <w:t>Proposed date of entry into force:</w:t>
            </w:r>
            <w:r>
              <w:t xml:space="preserve"> 6 months from adoption</w:t>
            </w:r>
          </w:p>
        </w:tc>
      </w:tr>
      <w:tr w14:paraId="2998C9A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DC4E5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C0CA5FD">
            <w:pPr>
              <w:spacing w:before="120" w:after="120"/>
              <w:rPr>
                <w:rFonts w:hint="eastAsia" w:eastAsia="宋体"/>
                <w:bCs/>
                <w:lang w:eastAsia="zh-CN"/>
              </w:rPr>
            </w:pPr>
            <w:r>
              <w:rPr>
                <w:b/>
              </w:rPr>
              <w:t>Final date for comments:</w:t>
            </w:r>
            <w:r>
              <w:t xml:space="preserve"> 30 August 2025</w:t>
            </w:r>
            <w:r>
              <w:rPr>
                <w:rFonts w:hint="eastAsia" w:eastAsia="宋体"/>
                <w:lang w:eastAsia="zh-CN"/>
              </w:rPr>
              <w:t>，</w:t>
            </w:r>
          </w:p>
          <w:p w14:paraId="1005B86B">
            <w:pPr>
              <w:spacing w:before="120" w:after="120"/>
            </w:pPr>
            <w:r>
              <w:rPr>
                <w:b/>
                <w:bCs/>
              </w:rPr>
              <w:t>[X] 60 days from notification</w:t>
            </w:r>
          </w:p>
        </w:tc>
      </w:tr>
      <w:tr w14:paraId="2BE0DC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57D62DC">
            <w:pPr>
              <w:keepNext/>
              <w:keepLines/>
              <w:spacing w:before="120" w:after="120"/>
              <w:jc w:val="left"/>
              <w:rPr>
                <w:b/>
              </w:rPr>
            </w:pPr>
            <w:r>
              <w:rPr>
                <w:b/>
              </w:rPr>
              <w:t>11.</w:t>
            </w:r>
          </w:p>
        </w:tc>
        <w:tc>
          <w:tcPr>
            <w:tcW w:w="8546" w:type="dxa"/>
            <w:tcBorders>
              <w:top w:val="single" w:color="auto" w:sz="6" w:space="0"/>
            </w:tcBorders>
            <w:shd w:val="clear" w:color="auto" w:fill="auto"/>
          </w:tcPr>
          <w:p w14:paraId="1646858A">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0A362527">
            <w:r>
              <w:t>Public Authority for Industry</w:t>
            </w:r>
          </w:p>
          <w:p w14:paraId="5A3C07F5">
            <w:r>
              <w:t>P.O.Box 4690, Safat</w:t>
            </w:r>
          </w:p>
          <w:p w14:paraId="4C0A2416">
            <w:pPr>
              <w:rPr>
                <w:lang w:val="fr-CH"/>
              </w:rPr>
            </w:pPr>
            <w:r>
              <w:rPr>
                <w:lang w:val="fr-CH"/>
              </w:rPr>
              <w:t>13047 Kuwait</w:t>
            </w:r>
          </w:p>
          <w:p w14:paraId="3C1730EA">
            <w:pPr>
              <w:rPr>
                <w:lang w:val="fr-CH"/>
              </w:rPr>
            </w:pPr>
            <w:r>
              <w:rPr>
                <w:lang w:val="fr-CH"/>
              </w:rPr>
              <w:t>Tel: (+965) 25302622</w:t>
            </w:r>
          </w:p>
          <w:p w14:paraId="60BC6170">
            <w:pPr>
              <w:rPr>
                <w:lang w:val="fr-CH"/>
              </w:rPr>
            </w:pPr>
            <w:r>
              <w:rPr>
                <w:lang w:val="fr-CH"/>
              </w:rPr>
              <w:t xml:space="preserve">E-mail: </w:t>
            </w:r>
            <w:r>
              <w:fldChar w:fldCharType="begin"/>
            </w:r>
            <w:r>
              <w:instrText xml:space="preserve"> HYPERLINK "mailto:Enquiry_point@pai.gov.kw" </w:instrText>
            </w:r>
            <w:r>
              <w:fldChar w:fldCharType="separate"/>
            </w:r>
            <w:r>
              <w:rPr>
                <w:color w:val="0000FF"/>
                <w:u w:val="single"/>
                <w:lang w:val="fr-CH"/>
              </w:rPr>
              <w:t>Enquiry_point@pai.gov.kw</w:t>
            </w:r>
            <w:r>
              <w:rPr>
                <w:color w:val="0000FF"/>
                <w:u w:val="single"/>
                <w:lang w:val="fr-CH"/>
              </w:rPr>
              <w:fldChar w:fldCharType="end"/>
            </w:r>
          </w:p>
          <w:p w14:paraId="3286EC2A">
            <w:pPr>
              <w:keepNext/>
              <w:keepLines/>
              <w:rPr>
                <w:bCs/>
              </w:rPr>
            </w:pPr>
            <w:r>
              <w:t xml:space="preserve">Website: </w:t>
            </w:r>
            <w:r>
              <w:fldChar w:fldCharType="begin"/>
            </w:r>
            <w:r>
              <w:instrText xml:space="preserve"> HYPERLINK "http://www.pai.gov.kw/" \t "_blank" </w:instrText>
            </w:r>
            <w:r>
              <w:fldChar w:fldCharType="separate"/>
            </w:r>
            <w:r>
              <w:rPr>
                <w:color w:val="0000FF"/>
                <w:u w:val="single"/>
              </w:rPr>
              <w:t>http://www.pai.gov.kw/</w:t>
            </w:r>
            <w:r>
              <w:rPr>
                <w:color w:val="0000FF"/>
                <w:u w:val="single"/>
              </w:rPr>
              <w:fldChar w:fldCharType="end"/>
            </w:r>
          </w:p>
          <w:p w14:paraId="62888EF3">
            <w:pPr>
              <w:keepNext/>
              <w:keepLines/>
              <w:pBdr>
                <w:top w:val="none" w:color="auto" w:sz="0" w:space="4"/>
              </w:pBdr>
              <w:spacing w:after="120"/>
              <w:rPr>
                <w:bCs/>
              </w:rPr>
            </w:pPr>
          </w:p>
          <w:p w14:paraId="32BD8CD2">
            <w:pPr>
              <w:keepNext/>
              <w:keepLines/>
              <w:pBdr>
                <w:top w:val="none" w:color="auto" w:sz="0" w:space="4"/>
              </w:pBdr>
              <w:spacing w:after="120"/>
              <w:rPr>
                <w:bCs/>
              </w:rPr>
            </w:pPr>
            <w:r>
              <w:fldChar w:fldCharType="begin"/>
            </w:r>
            <w:r>
              <w:instrText xml:space="preserve"> HYPERLINK "https://members.wto.org/crnattachments/2025/TBT/KWT/25_04241_00_e.pdf" \t "_blank" </w:instrText>
            </w:r>
            <w:r>
              <w:fldChar w:fldCharType="separate"/>
            </w:r>
            <w:r>
              <w:rPr>
                <w:iCs/>
                <w:color w:val="0000FF"/>
                <w:u w:val="single"/>
              </w:rPr>
              <w:t>https://members.wto.org/crnattachments/2025/TBT/KWT/25_04241_00_e.pdf</w:t>
            </w:r>
            <w:r>
              <w:rPr>
                <w:iCs/>
                <w:color w:val="0000FF"/>
                <w:u w:val="single"/>
              </w:rPr>
              <w:fldChar w:fldCharType="end"/>
            </w:r>
          </w:p>
        </w:tc>
      </w:tr>
    </w:tbl>
    <w:p w14:paraId="6C787E6E"/>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0562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595EE">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DF5A6">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46893">
    <w:pPr>
      <w:pStyle w:val="58"/>
      <w:pBdr>
        <w:bottom w:val="single" w:color="auto" w:sz="4" w:space="1"/>
      </w:pBdr>
      <w:tabs>
        <w:tab w:val="clear" w:pos="4513"/>
        <w:tab w:val="clear" w:pos="9027"/>
      </w:tabs>
      <w:jc w:val="center"/>
    </w:pPr>
    <w:bookmarkStart w:id="10" w:name="spsSymbolHeader"/>
    <w:r>
      <w:t>G/TBT/N/KWT/698</w:t>
    </w:r>
    <w:bookmarkEnd w:id="10"/>
  </w:p>
  <w:p w14:paraId="0A7CBC0D">
    <w:pPr>
      <w:pStyle w:val="58"/>
      <w:pBdr>
        <w:bottom w:val="single" w:color="auto" w:sz="4" w:space="1"/>
      </w:pBdr>
      <w:tabs>
        <w:tab w:val="clear" w:pos="4513"/>
        <w:tab w:val="clear" w:pos="9027"/>
      </w:tabs>
      <w:jc w:val="center"/>
    </w:pPr>
  </w:p>
  <w:p w14:paraId="6E4700B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4F4071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57260">
    <w:pPr>
      <w:pStyle w:val="58"/>
      <w:pBdr>
        <w:bottom w:val="single" w:color="auto" w:sz="4" w:space="1"/>
      </w:pBdr>
      <w:tabs>
        <w:tab w:val="clear" w:pos="4513"/>
        <w:tab w:val="clear" w:pos="9027"/>
      </w:tabs>
      <w:jc w:val="center"/>
    </w:pPr>
    <w:r>
      <w:t>tbtSymbol</w:t>
    </w:r>
  </w:p>
  <w:p w14:paraId="66F1A703">
    <w:pPr>
      <w:pStyle w:val="58"/>
      <w:pBdr>
        <w:bottom w:val="single" w:color="auto" w:sz="4" w:space="1"/>
      </w:pBdr>
      <w:tabs>
        <w:tab w:val="clear" w:pos="4513"/>
        <w:tab w:val="clear" w:pos="9027"/>
      </w:tabs>
      <w:jc w:val="center"/>
    </w:pPr>
  </w:p>
  <w:p w14:paraId="5FA10BA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048351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333AB2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F273D90">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71937A">
          <w:pPr>
            <w:jc w:val="right"/>
            <w:rPr>
              <w:b/>
              <w:color w:val="FF0000"/>
              <w:szCs w:val="16"/>
            </w:rPr>
          </w:pPr>
        </w:p>
      </w:tc>
    </w:tr>
    <w:bookmarkEnd w:id="0"/>
    <w:tr w14:paraId="29BE975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03AC0E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9082D4C">
          <w:pPr>
            <w:jc w:val="right"/>
            <w:rPr>
              <w:b/>
              <w:szCs w:val="16"/>
            </w:rPr>
          </w:pPr>
        </w:p>
      </w:tc>
    </w:tr>
    <w:tr w14:paraId="18CCC648">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FC109E7">
          <w:pPr>
            <w:jc w:val="left"/>
            <w:rPr>
              <w:lang w:eastAsia="en-GB"/>
            </w:rPr>
          </w:pPr>
        </w:p>
      </w:tc>
      <w:tc>
        <w:tcPr>
          <w:tcW w:w="5448" w:type="dxa"/>
          <w:gridSpan w:val="2"/>
          <w:shd w:val="clear" w:color="auto" w:fill="FFFFFF"/>
          <w:tcMar>
            <w:left w:w="108" w:type="dxa"/>
            <w:right w:w="108" w:type="dxa"/>
          </w:tcMar>
        </w:tcPr>
        <w:p w14:paraId="7BA58ADA">
          <w:pPr>
            <w:jc w:val="right"/>
            <w:rPr>
              <w:rFonts w:hint="default" w:eastAsia="宋体"/>
              <w:b/>
              <w:szCs w:val="16"/>
              <w:lang w:val="en-US" w:eastAsia="zh-CN"/>
            </w:rPr>
          </w:pPr>
          <w:bookmarkStart w:id="1" w:name="bmkSymbols"/>
          <w:r>
            <w:rPr>
              <w:b/>
              <w:szCs w:val="16"/>
            </w:rPr>
            <w:t>G/TBT/N/KWT/</w:t>
          </w:r>
          <w:bookmarkEnd w:id="1"/>
          <w:r>
            <w:rPr>
              <w:rFonts w:hint="eastAsia" w:eastAsia="宋体"/>
              <w:b/>
              <w:szCs w:val="16"/>
              <w:lang w:val="en-US" w:eastAsia="zh-CN"/>
            </w:rPr>
            <w:t>723</w:t>
          </w:r>
        </w:p>
      </w:tc>
    </w:tr>
    <w:tr w14:paraId="2C652B5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2DF8004"/>
      </w:tc>
      <w:tc>
        <w:tcPr>
          <w:tcW w:w="5448" w:type="dxa"/>
          <w:gridSpan w:val="2"/>
          <w:shd w:val="clear" w:color="auto" w:fill="FFFFFF"/>
          <w:tcMar>
            <w:left w:w="108" w:type="dxa"/>
            <w:right w:w="108" w:type="dxa"/>
          </w:tcMar>
          <w:vAlign w:val="center"/>
        </w:tcPr>
        <w:p w14:paraId="533ED459">
          <w:pPr>
            <w:jc w:val="right"/>
            <w:rPr>
              <w:szCs w:val="16"/>
            </w:rPr>
          </w:pPr>
          <w:bookmarkStart w:id="2" w:name="spsDateDistribution"/>
          <w:bookmarkEnd w:id="2"/>
          <w:bookmarkStart w:id="3" w:name="bmkDate"/>
          <w:bookmarkEnd w:id="3"/>
          <w:r>
            <w:rPr>
              <w:szCs w:val="16"/>
            </w:rPr>
            <w:t>1 July 2025</w:t>
          </w:r>
        </w:p>
      </w:tc>
    </w:tr>
    <w:tr w14:paraId="0E71A4F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03C33EC">
          <w:pPr>
            <w:jc w:val="left"/>
            <w:rPr>
              <w:b/>
            </w:rPr>
          </w:pPr>
          <w:bookmarkStart w:id="4" w:name="bmkSerial"/>
          <w:r>
            <w:rPr>
              <w:color w:val="FF0000"/>
              <w:szCs w:val="16"/>
            </w:rPr>
            <w:t>(</w:t>
          </w:r>
          <w:bookmarkStart w:id="5" w:name="spsSerialNumber"/>
          <w:bookmarkEnd w:id="5"/>
          <w:r>
            <w:rPr>
              <w:color w:val="FF0000"/>
              <w:szCs w:val="16"/>
            </w:rPr>
            <w:t>24-</w:t>
          </w:r>
          <w:r>
            <w:rPr>
              <w:rFonts w:hint="eastAsia" w:eastAsia="宋体"/>
              <w:color w:val="FF0000"/>
              <w:szCs w:val="16"/>
              <w:lang w:val="en-US" w:eastAsia="zh-CN"/>
            </w:rPr>
            <w:t>4238</w:t>
          </w:r>
          <w:r>
            <w:rPr>
              <w:color w:val="FF0000"/>
              <w:szCs w:val="16"/>
            </w:rPr>
            <w:t>)</w:t>
          </w:r>
          <w:bookmarkEnd w:id="4"/>
        </w:p>
      </w:tc>
      <w:tc>
        <w:tcPr>
          <w:tcW w:w="3325" w:type="dxa"/>
          <w:tcBorders>
            <w:bottom w:val="single" w:color="auto" w:sz="4" w:space="0"/>
          </w:tcBorders>
          <w:tcMar>
            <w:top w:w="0" w:type="dxa"/>
            <w:left w:w="108" w:type="dxa"/>
            <w:bottom w:w="57" w:type="dxa"/>
            <w:right w:w="108" w:type="dxa"/>
          </w:tcMar>
          <w:vAlign w:val="bottom"/>
        </w:tcPr>
        <w:p w14:paraId="60A0A89E">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6"/>
        </w:p>
      </w:tc>
    </w:tr>
    <w:tr w14:paraId="7E068A9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8D28354">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7F05010F">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5BFFC3A8">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1ED6"/>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34E9"/>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E6FDF"/>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A22DF"/>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5298"/>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9684D71"/>
    <w:rsid w:val="45014E73"/>
    <w:rsid w:val="6E9119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BFCF3351-2547-4B7D-A17C-BC07B33AFA10}">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429</Words>
  <Characters>2504</Characters>
  <Lines>18</Lines>
  <Paragraphs>5</Paragraphs>
  <TotalTime>0</TotalTime>
  <ScaleCrop>false</ScaleCrop>
  <LinksUpToDate>false</LinksUpToDate>
  <CharactersWithSpaces>2897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2024-10-28T12:37:00Z</dcterms:created>
  <dc:description>LDIMD - DTU</dc:description>
  <dcterms:modified xsi:type="dcterms:W3CDTF">2025-07-03T15:47:09Z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828AA068733A4F5498308B4B037E69D3_12</vt:lpwstr>
  </property>
</Properties>
</file>