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966CE1">
      <w:pPr>
        <w:pStyle w:val="84"/>
        <w:rPr>
          <w:caps w:val="0"/>
          <w:kern w:val="0"/>
        </w:rPr>
      </w:pPr>
      <w:r>
        <w:rPr>
          <w:caps w:val="0"/>
          <w:kern w:val="0"/>
        </w:rPr>
        <w:t>NOTIFICATION</w:t>
      </w:r>
    </w:p>
    <w:p w14:paraId="6BDBFE94">
      <w:pPr>
        <w:jc w:val="center"/>
      </w:pPr>
      <w:r>
        <w:t>The following notification is being circulated in accordance with Article 10.6</w:t>
      </w:r>
    </w:p>
    <w:p w14:paraId="71C263EE"/>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5EDC754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PrEx>
        <w:tc>
          <w:tcPr>
            <w:tcW w:w="713" w:type="dxa"/>
            <w:tcBorders>
              <w:bottom w:val="single" w:color="auto" w:sz="6" w:space="0"/>
            </w:tcBorders>
            <w:shd w:val="clear" w:color="auto" w:fill="auto"/>
          </w:tcPr>
          <w:p w14:paraId="49809E84">
            <w:pPr>
              <w:spacing w:before="120" w:after="120"/>
              <w:jc w:val="left"/>
            </w:pPr>
            <w:r>
              <w:rPr>
                <w:b/>
              </w:rPr>
              <w:t>1.</w:t>
            </w:r>
          </w:p>
        </w:tc>
        <w:tc>
          <w:tcPr>
            <w:tcW w:w="8546" w:type="dxa"/>
            <w:tcBorders>
              <w:bottom w:val="single" w:color="auto" w:sz="6" w:space="0"/>
            </w:tcBorders>
            <w:shd w:val="clear" w:color="auto" w:fill="auto"/>
          </w:tcPr>
          <w:p w14:paraId="664E0DEF">
            <w:pPr>
              <w:spacing w:before="120" w:after="120"/>
            </w:pPr>
            <w:r>
              <w:rPr>
                <w:b/>
              </w:rPr>
              <w:t>Notifying Member:</w:t>
            </w:r>
            <w:r>
              <w:t xml:space="preserve"> </w:t>
            </w:r>
            <w:r>
              <w:rPr>
                <w:u w:val="single"/>
              </w:rPr>
              <w:t>THE STATE OF KUWAIT</w:t>
            </w:r>
          </w:p>
          <w:p w14:paraId="5B797DD0">
            <w:pPr>
              <w:spacing w:after="120"/>
            </w:pPr>
            <w:r>
              <w:rPr>
                <w:b/>
              </w:rPr>
              <w:t>If applicable, name of local government involved (Article 3.2 and 7.2):</w:t>
            </w:r>
            <w:r>
              <w:t xml:space="preserve"> </w:t>
            </w:r>
          </w:p>
        </w:tc>
      </w:tr>
      <w:tr w14:paraId="6F94D06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A8CAB31">
            <w:pPr>
              <w:spacing w:before="120" w:after="120"/>
              <w:jc w:val="left"/>
            </w:pPr>
            <w:r>
              <w:rPr>
                <w:b/>
              </w:rPr>
              <w:t>2.</w:t>
            </w:r>
          </w:p>
        </w:tc>
        <w:tc>
          <w:tcPr>
            <w:tcW w:w="8546" w:type="dxa"/>
            <w:tcBorders>
              <w:top w:val="single" w:color="auto" w:sz="6" w:space="0"/>
              <w:bottom w:val="single" w:color="auto" w:sz="6" w:space="0"/>
            </w:tcBorders>
            <w:shd w:val="clear" w:color="auto" w:fill="auto"/>
          </w:tcPr>
          <w:p w14:paraId="119054B0">
            <w:pPr>
              <w:spacing w:before="120" w:after="120"/>
            </w:pPr>
            <w:r>
              <w:rPr>
                <w:b/>
              </w:rPr>
              <w:t>Agency responsible:</w:t>
            </w:r>
            <w:r>
              <w:t xml:space="preserve"> </w:t>
            </w:r>
          </w:p>
          <w:p w14:paraId="5A1B4201">
            <w:r>
              <w:t>Public Authority for Industry</w:t>
            </w:r>
          </w:p>
          <w:p w14:paraId="65D7E240">
            <w:pPr>
              <w:spacing w:after="120"/>
            </w:pPr>
            <w:r>
              <w:t>Standard and Metrology Department (KOWSMD)</w:t>
            </w:r>
          </w:p>
          <w:p w14:paraId="77E0366C">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4A1A90A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B0D0E43">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7EE8F561">
            <w:pPr>
              <w:spacing w:before="120" w:after="120"/>
            </w:pPr>
            <w:r>
              <w:rPr>
                <w:b/>
              </w:rPr>
              <w:t>Notified under Article 2.9.2 [X], 2.10.1 [ ], 5.6.2 [</w:t>
            </w:r>
            <w:r>
              <w:rPr>
                <w:rFonts w:hint="eastAsia" w:eastAsia="宋体"/>
                <w:b/>
                <w:lang w:val="en-US" w:eastAsia="zh-CN"/>
              </w:rPr>
              <w:t xml:space="preserve"> </w:t>
            </w:r>
            <w:r>
              <w:rPr>
                <w:b/>
              </w:rPr>
              <w:t>], 5.7.1 [ ], 3.2 [ ], 7.2 [ ], other:</w:t>
            </w:r>
            <w:r>
              <w:t xml:space="preserve"> </w:t>
            </w:r>
          </w:p>
        </w:tc>
      </w:tr>
      <w:tr w14:paraId="5A480C9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82C7823">
            <w:pPr>
              <w:spacing w:before="120" w:after="120"/>
              <w:jc w:val="left"/>
            </w:pPr>
            <w:r>
              <w:rPr>
                <w:b/>
              </w:rPr>
              <w:t>4.</w:t>
            </w:r>
          </w:p>
        </w:tc>
        <w:tc>
          <w:tcPr>
            <w:tcW w:w="8546" w:type="dxa"/>
            <w:tcBorders>
              <w:top w:val="single" w:color="auto" w:sz="6" w:space="0"/>
              <w:bottom w:val="single" w:color="auto" w:sz="6" w:space="0"/>
            </w:tcBorders>
            <w:shd w:val="clear" w:color="auto" w:fill="auto"/>
          </w:tcPr>
          <w:p w14:paraId="5D09C143">
            <w:pPr>
              <w:spacing w:before="120" w:after="120"/>
            </w:pPr>
            <w:r>
              <w:rPr>
                <w:b/>
              </w:rPr>
              <w:t>Products covered (HS or CCCN where applicable, otherwise national tariff heading. ICS numbers may be provided in addition, where applicable):</w:t>
            </w:r>
            <w:r>
              <w:t xml:space="preserve"> All products fall under scope of " Safety of transformers, reactors, power supply units and combinations thereof - Part 2-7: Particular requirements and tests for transformers and power supply units for toys " (ICS 29.180) Transformers. Reactors</w:t>
            </w:r>
          </w:p>
        </w:tc>
      </w:tr>
      <w:tr w14:paraId="70BAD05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916FFBA">
            <w:pPr>
              <w:spacing w:before="120" w:after="120"/>
              <w:jc w:val="left"/>
            </w:pPr>
            <w:r>
              <w:rPr>
                <w:b/>
              </w:rPr>
              <w:t>5.</w:t>
            </w:r>
          </w:p>
        </w:tc>
        <w:tc>
          <w:tcPr>
            <w:tcW w:w="8546" w:type="dxa"/>
            <w:tcBorders>
              <w:top w:val="single" w:color="auto" w:sz="6" w:space="0"/>
              <w:bottom w:val="single" w:color="auto" w:sz="6" w:space="0"/>
            </w:tcBorders>
            <w:shd w:val="clear" w:color="auto" w:fill="auto"/>
          </w:tcPr>
          <w:p w14:paraId="06314555">
            <w:pPr>
              <w:spacing w:before="120" w:after="120"/>
            </w:pPr>
            <w:r>
              <w:rPr>
                <w:b/>
              </w:rPr>
              <w:t>Title, number of pages and language(s) of the notified document:</w:t>
            </w:r>
            <w:r>
              <w:t xml:space="preserve"> Safety of transformers, reactors, power supply units and combinations thereof - Part 2-7: Particular requirements and tests for transformers and power supply units for toys; (46 page(s), in English)</w:t>
            </w:r>
          </w:p>
        </w:tc>
      </w:tr>
      <w:tr w14:paraId="570B7D1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9D6A757">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7FCC4795">
            <w:pPr>
              <w:spacing w:before="120" w:after="120"/>
              <w:rPr>
                <w:b/>
              </w:rPr>
            </w:pPr>
            <w:r>
              <w:rPr>
                <w:b/>
              </w:rPr>
              <w:t>Description of content:</w:t>
            </w:r>
            <w:r>
              <w:t xml:space="preserve">  IEC 61558-2-7:2023 is available as IEC 61558-2-7:2023 RLV which contains the International Standard and its Redline version, showing all changes of the technical content compared to the previous edition.</w:t>
            </w:r>
          </w:p>
          <w:p w14:paraId="5AE322ED">
            <w:pPr>
              <w:spacing w:before="120" w:after="120"/>
            </w:pPr>
            <w:r>
              <w:t>IEC 61558-2-7:2023 deals with the safety of transformers for toys and power supply units incorporating transformers for toys. Transformers for toys incorporating electronic circuits are also covered by this document. This third edition cancels and replaces the second edition published in 2007. This edition constitutes a technical revision. This edition includes the following significant technical changes with respect to the previous edition:</w:t>
            </w:r>
          </w:p>
          <w:p w14:paraId="56BFCB6B">
            <w:pPr>
              <w:spacing w:before="120" w:after="120"/>
            </w:pPr>
            <w:r>
              <w:t>a) adjustment of structure and references in accordance with IEC 61558-1:2017;</w:t>
            </w:r>
          </w:p>
          <w:p w14:paraId="16EBA23D">
            <w:pPr>
              <w:spacing w:before="120" w:after="120"/>
            </w:pPr>
            <w:r>
              <w:t>b) new symbol for power supply unit with linearly regulated output voltage.</w:t>
            </w:r>
          </w:p>
          <w:p w14:paraId="12F1CB95">
            <w:pPr>
              <w:spacing w:before="120" w:after="120"/>
              <w:rPr>
                <w:b/>
              </w:rPr>
            </w:pPr>
            <w:r>
              <w:t>It has the status of a group safety publication in accordance with IEC Guide 104.</w:t>
            </w:r>
          </w:p>
        </w:tc>
      </w:tr>
      <w:tr w14:paraId="029677C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ECA8E61">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6BC513D3">
            <w:pPr>
              <w:spacing w:before="120" w:after="120"/>
              <w:rPr>
                <w:b/>
              </w:rPr>
            </w:pPr>
            <w:r>
              <w:rPr>
                <w:b/>
              </w:rPr>
              <w:t>Objective and rationale, including the nature of urgent problems where applicable:</w:t>
            </w:r>
            <w:r>
              <w:t xml:space="preserve"> Protection of human health or safety</w:t>
            </w:r>
          </w:p>
        </w:tc>
      </w:tr>
      <w:tr w14:paraId="2693529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17D8C9E">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28887141">
            <w:pPr>
              <w:spacing w:before="120" w:after="120"/>
              <w:rPr>
                <w:bCs/>
              </w:rPr>
            </w:pPr>
            <w:r>
              <w:rPr>
                <w:b/>
              </w:rPr>
              <w:t>Relevant documents:</w:t>
            </w:r>
            <w:r>
              <w:t xml:space="preserve"> </w:t>
            </w:r>
          </w:p>
          <w:p w14:paraId="156D8BA7">
            <w:pPr>
              <w:spacing w:before="120" w:after="120"/>
            </w:pPr>
            <w:r>
              <w:t>GSO IEC 61558-2-7:2024</w:t>
            </w:r>
            <w:bookmarkStart w:id="11" w:name="_GoBack"/>
            <w:bookmarkEnd w:id="11"/>
          </w:p>
        </w:tc>
      </w:tr>
      <w:tr w14:paraId="5744C23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7CD56624">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21BC5EC1">
            <w:pPr>
              <w:spacing w:before="120" w:after="120"/>
            </w:pPr>
            <w:r>
              <w:rPr>
                <w:b/>
              </w:rPr>
              <w:t>Proposed date of adoption:</w:t>
            </w:r>
            <w:r>
              <w:t xml:space="preserve"> 30 days from final date for comments</w:t>
            </w:r>
          </w:p>
          <w:p w14:paraId="528BC656">
            <w:pPr>
              <w:spacing w:after="120"/>
            </w:pPr>
            <w:r>
              <w:rPr>
                <w:b/>
              </w:rPr>
              <w:t>Proposed date of entry into force:</w:t>
            </w:r>
            <w:r>
              <w:t xml:space="preserve"> 6 months from adoption</w:t>
            </w:r>
          </w:p>
        </w:tc>
      </w:tr>
      <w:tr w14:paraId="2998C9A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3DC4E58">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C0CA5FD">
            <w:pPr>
              <w:spacing w:before="120" w:after="120"/>
              <w:rPr>
                <w:rFonts w:hint="eastAsia" w:eastAsia="宋体"/>
                <w:bCs/>
                <w:lang w:eastAsia="zh-CN"/>
              </w:rPr>
            </w:pPr>
            <w:r>
              <w:rPr>
                <w:b/>
              </w:rPr>
              <w:t>Final date for comments:</w:t>
            </w:r>
            <w:r>
              <w:t xml:space="preserve"> 30 August 2025</w:t>
            </w:r>
            <w:r>
              <w:rPr>
                <w:rFonts w:hint="eastAsia" w:eastAsia="宋体"/>
                <w:lang w:eastAsia="zh-CN"/>
              </w:rPr>
              <w:t>，</w:t>
            </w:r>
          </w:p>
          <w:p w14:paraId="1005B86B">
            <w:pPr>
              <w:spacing w:before="120" w:after="120"/>
            </w:pPr>
            <w:r>
              <w:rPr>
                <w:b/>
                <w:bCs/>
              </w:rPr>
              <w:t>[X] 60 days from notification</w:t>
            </w:r>
          </w:p>
        </w:tc>
      </w:tr>
      <w:tr w14:paraId="2BE0DC8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657D62DC">
            <w:pPr>
              <w:keepNext/>
              <w:keepLines/>
              <w:spacing w:before="120" w:after="120"/>
              <w:jc w:val="left"/>
              <w:rPr>
                <w:b/>
              </w:rPr>
            </w:pPr>
            <w:r>
              <w:rPr>
                <w:b/>
              </w:rPr>
              <w:t>11.</w:t>
            </w:r>
          </w:p>
        </w:tc>
        <w:tc>
          <w:tcPr>
            <w:tcW w:w="8546" w:type="dxa"/>
            <w:tcBorders>
              <w:top w:val="single" w:color="auto" w:sz="6" w:space="0"/>
            </w:tcBorders>
            <w:shd w:val="clear" w:color="auto" w:fill="auto"/>
          </w:tcPr>
          <w:p w14:paraId="1646858A">
            <w:pPr>
              <w:keepNext/>
              <w:keepLines/>
              <w:spacing w:before="120" w:after="120"/>
            </w:pPr>
            <w:r>
              <w:rPr>
                <w:b/>
              </w:rPr>
              <w:t>Texts available from: National enquiry point [ ] or address, telephone and fax numbers and email and website addresses, if available, of other body:</w:t>
            </w:r>
            <w:r>
              <w:rPr>
                <w:bCs/>
              </w:rPr>
              <w:t xml:space="preserve"> </w:t>
            </w:r>
          </w:p>
          <w:p w14:paraId="0A362527">
            <w:r>
              <w:t>Public Authority for Industry</w:t>
            </w:r>
          </w:p>
          <w:p w14:paraId="5A3C07F5">
            <w:r>
              <w:t>P.O.Box 4690, Safat</w:t>
            </w:r>
          </w:p>
          <w:p w14:paraId="4C0A2416">
            <w:pPr>
              <w:rPr>
                <w:lang w:val="fr-CH"/>
              </w:rPr>
            </w:pPr>
            <w:r>
              <w:rPr>
                <w:lang w:val="fr-CH"/>
              </w:rPr>
              <w:t>13047 Kuwait</w:t>
            </w:r>
          </w:p>
          <w:p w14:paraId="3C1730EA">
            <w:pPr>
              <w:rPr>
                <w:lang w:val="fr-CH"/>
              </w:rPr>
            </w:pPr>
            <w:r>
              <w:rPr>
                <w:lang w:val="fr-CH"/>
              </w:rPr>
              <w:t>Tel: (+965) 25302622</w:t>
            </w:r>
          </w:p>
          <w:p w14:paraId="60BC6170">
            <w:pPr>
              <w:rPr>
                <w:lang w:val="fr-CH"/>
              </w:rPr>
            </w:pPr>
            <w:r>
              <w:rPr>
                <w:lang w:val="fr-CH"/>
              </w:rPr>
              <w:t xml:space="preserve">E-mail: </w:t>
            </w:r>
            <w:r>
              <w:fldChar w:fldCharType="begin"/>
            </w:r>
            <w:r>
              <w:instrText xml:space="preserve"> HYPERLINK "mailto:Enquiry_point@pai.gov.kw" </w:instrText>
            </w:r>
            <w:r>
              <w:fldChar w:fldCharType="separate"/>
            </w:r>
            <w:r>
              <w:rPr>
                <w:color w:val="0000FF"/>
                <w:u w:val="single"/>
                <w:lang w:val="fr-CH"/>
              </w:rPr>
              <w:t>Enquiry_point@pai.gov.kw</w:t>
            </w:r>
            <w:r>
              <w:rPr>
                <w:color w:val="0000FF"/>
                <w:u w:val="single"/>
                <w:lang w:val="fr-CH"/>
              </w:rPr>
              <w:fldChar w:fldCharType="end"/>
            </w:r>
          </w:p>
          <w:p w14:paraId="3286EC2A">
            <w:pPr>
              <w:keepNext/>
              <w:keepLines/>
              <w:rPr>
                <w:bCs/>
              </w:rPr>
            </w:pPr>
            <w:r>
              <w:t xml:space="preserve">Website: </w:t>
            </w:r>
            <w:r>
              <w:fldChar w:fldCharType="begin"/>
            </w:r>
            <w:r>
              <w:instrText xml:space="preserve"> HYPERLINK "http://www.pai.gov.kw/" \t "_blank" </w:instrText>
            </w:r>
            <w:r>
              <w:fldChar w:fldCharType="separate"/>
            </w:r>
            <w:r>
              <w:rPr>
                <w:color w:val="0000FF"/>
                <w:u w:val="single"/>
              </w:rPr>
              <w:t>http://www.pai.gov.kw/</w:t>
            </w:r>
            <w:r>
              <w:rPr>
                <w:color w:val="0000FF"/>
                <w:u w:val="single"/>
              </w:rPr>
              <w:fldChar w:fldCharType="end"/>
            </w:r>
          </w:p>
          <w:p w14:paraId="62888EF3">
            <w:pPr>
              <w:keepNext/>
              <w:keepLines/>
              <w:pBdr>
                <w:top w:val="none" w:color="auto" w:sz="0" w:space="4"/>
              </w:pBdr>
              <w:spacing w:after="120"/>
              <w:rPr>
                <w:bCs/>
              </w:rPr>
            </w:pPr>
          </w:p>
          <w:p w14:paraId="32BD8CD2">
            <w:pPr>
              <w:keepNext/>
              <w:keepLines/>
              <w:pBdr>
                <w:top w:val="none" w:color="auto" w:sz="0" w:space="4"/>
              </w:pBdr>
              <w:spacing w:after="120"/>
              <w:rPr>
                <w:bCs/>
              </w:rPr>
            </w:pPr>
            <w:r>
              <w:fldChar w:fldCharType="begin"/>
            </w:r>
            <w:r>
              <w:instrText xml:space="preserve"> HYPERLINK "https://members.wto.org/crnattachments/2025/TBT/KWT/25_04239_00_e.pdf" \t "_blank" </w:instrText>
            </w:r>
            <w:r>
              <w:fldChar w:fldCharType="separate"/>
            </w:r>
            <w:r>
              <w:rPr>
                <w:iCs/>
                <w:color w:val="0000FF"/>
                <w:u w:val="single"/>
              </w:rPr>
              <w:t>https://members.wto.org/crnattachments/2025/TBT/KWT/25_04239_00_e.pdf</w:t>
            </w:r>
            <w:r>
              <w:rPr>
                <w:iCs/>
                <w:color w:val="0000FF"/>
                <w:u w:val="single"/>
              </w:rPr>
              <w:fldChar w:fldCharType="end"/>
            </w:r>
          </w:p>
        </w:tc>
      </w:tr>
    </w:tbl>
    <w:p w14:paraId="6C787E6E"/>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105624">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A595EE">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0DF5A6">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946893">
    <w:pPr>
      <w:pStyle w:val="58"/>
      <w:pBdr>
        <w:bottom w:val="single" w:color="auto" w:sz="4" w:space="1"/>
      </w:pBdr>
      <w:tabs>
        <w:tab w:val="clear" w:pos="4513"/>
        <w:tab w:val="clear" w:pos="9027"/>
      </w:tabs>
      <w:jc w:val="center"/>
    </w:pPr>
    <w:bookmarkStart w:id="10" w:name="spsSymbolHeader"/>
    <w:r>
      <w:t>G/TBT/N/KWT/698</w:t>
    </w:r>
    <w:bookmarkEnd w:id="10"/>
  </w:p>
  <w:p w14:paraId="0A7CBC0D">
    <w:pPr>
      <w:pStyle w:val="58"/>
      <w:pBdr>
        <w:bottom w:val="single" w:color="auto" w:sz="4" w:space="1"/>
      </w:pBdr>
      <w:tabs>
        <w:tab w:val="clear" w:pos="4513"/>
        <w:tab w:val="clear" w:pos="9027"/>
      </w:tabs>
      <w:jc w:val="center"/>
    </w:pPr>
  </w:p>
  <w:p w14:paraId="6E4700BB">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34F4071C">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B57260">
    <w:pPr>
      <w:pStyle w:val="58"/>
      <w:pBdr>
        <w:bottom w:val="single" w:color="auto" w:sz="4" w:space="1"/>
      </w:pBdr>
      <w:tabs>
        <w:tab w:val="clear" w:pos="4513"/>
        <w:tab w:val="clear" w:pos="9027"/>
      </w:tabs>
      <w:jc w:val="center"/>
    </w:pPr>
    <w:r>
      <w:t>tbtSymbol</w:t>
    </w:r>
  </w:p>
  <w:p w14:paraId="66F1A703">
    <w:pPr>
      <w:pStyle w:val="58"/>
      <w:pBdr>
        <w:bottom w:val="single" w:color="auto" w:sz="4" w:space="1"/>
      </w:pBdr>
      <w:tabs>
        <w:tab w:val="clear" w:pos="4513"/>
        <w:tab w:val="clear" w:pos="9027"/>
      </w:tabs>
      <w:jc w:val="center"/>
    </w:pPr>
  </w:p>
  <w:p w14:paraId="5FA10BA2">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4048351F">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4333AB2D">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5F273D90">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7F71937A">
          <w:pPr>
            <w:jc w:val="right"/>
            <w:rPr>
              <w:b/>
              <w:color w:val="FF0000"/>
              <w:szCs w:val="16"/>
            </w:rPr>
          </w:pPr>
        </w:p>
      </w:tc>
    </w:tr>
    <w:bookmarkEnd w:id="0"/>
    <w:tr w14:paraId="29BE9759">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303AC0EE">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59082D4C">
          <w:pPr>
            <w:jc w:val="right"/>
            <w:rPr>
              <w:b/>
              <w:szCs w:val="16"/>
            </w:rPr>
          </w:pPr>
        </w:p>
      </w:tc>
    </w:tr>
    <w:tr w14:paraId="18CCC648">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0FC109E7">
          <w:pPr>
            <w:jc w:val="left"/>
            <w:rPr>
              <w:lang w:eastAsia="en-GB"/>
            </w:rPr>
          </w:pPr>
        </w:p>
      </w:tc>
      <w:tc>
        <w:tcPr>
          <w:tcW w:w="5448" w:type="dxa"/>
          <w:gridSpan w:val="2"/>
          <w:shd w:val="clear" w:color="auto" w:fill="FFFFFF"/>
          <w:tcMar>
            <w:left w:w="108" w:type="dxa"/>
            <w:right w:w="108" w:type="dxa"/>
          </w:tcMar>
        </w:tcPr>
        <w:p w14:paraId="7BA58ADA">
          <w:pPr>
            <w:jc w:val="right"/>
            <w:rPr>
              <w:rFonts w:hint="default" w:eastAsia="宋体"/>
              <w:b/>
              <w:szCs w:val="16"/>
              <w:lang w:val="en-US" w:eastAsia="zh-CN"/>
            </w:rPr>
          </w:pPr>
          <w:bookmarkStart w:id="1" w:name="bmkSymbols"/>
          <w:r>
            <w:rPr>
              <w:b/>
              <w:szCs w:val="16"/>
            </w:rPr>
            <w:t>G/TBT/N/KWT/</w:t>
          </w:r>
          <w:bookmarkEnd w:id="1"/>
          <w:r>
            <w:rPr>
              <w:rFonts w:hint="eastAsia" w:eastAsia="宋体"/>
              <w:b/>
              <w:szCs w:val="16"/>
              <w:lang w:val="en-US" w:eastAsia="zh-CN"/>
            </w:rPr>
            <w:t>722</w:t>
          </w:r>
        </w:p>
      </w:tc>
    </w:tr>
    <w:tr w14:paraId="2C652B55">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02DF8004"/>
      </w:tc>
      <w:tc>
        <w:tcPr>
          <w:tcW w:w="5448" w:type="dxa"/>
          <w:gridSpan w:val="2"/>
          <w:shd w:val="clear" w:color="auto" w:fill="FFFFFF"/>
          <w:tcMar>
            <w:left w:w="108" w:type="dxa"/>
            <w:right w:w="108" w:type="dxa"/>
          </w:tcMar>
          <w:vAlign w:val="center"/>
        </w:tcPr>
        <w:p w14:paraId="533ED459">
          <w:pPr>
            <w:jc w:val="right"/>
            <w:rPr>
              <w:szCs w:val="16"/>
            </w:rPr>
          </w:pPr>
          <w:bookmarkStart w:id="2" w:name="spsDateDistribution"/>
          <w:bookmarkEnd w:id="2"/>
          <w:bookmarkStart w:id="3" w:name="bmkDate"/>
          <w:bookmarkEnd w:id="3"/>
          <w:r>
            <w:rPr>
              <w:szCs w:val="16"/>
            </w:rPr>
            <w:t>1 July 2025</w:t>
          </w:r>
        </w:p>
      </w:tc>
    </w:tr>
    <w:tr w14:paraId="0E71A4F8">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403C33EC">
          <w:pPr>
            <w:jc w:val="left"/>
            <w:rPr>
              <w:b/>
            </w:rPr>
          </w:pPr>
          <w:bookmarkStart w:id="4" w:name="bmkSerial"/>
          <w:r>
            <w:rPr>
              <w:color w:val="FF0000"/>
              <w:szCs w:val="16"/>
            </w:rPr>
            <w:t>(</w:t>
          </w:r>
          <w:bookmarkStart w:id="5" w:name="spsSerialNumber"/>
          <w:bookmarkEnd w:id="5"/>
          <w:r>
            <w:rPr>
              <w:color w:val="FF0000"/>
              <w:szCs w:val="16"/>
            </w:rPr>
            <w:t>24-</w:t>
          </w:r>
          <w:r>
            <w:rPr>
              <w:rFonts w:hint="eastAsia" w:eastAsia="宋体"/>
              <w:color w:val="FF0000"/>
              <w:szCs w:val="16"/>
              <w:lang w:val="en-US" w:eastAsia="zh-CN"/>
            </w:rPr>
            <w:t>4237</w:t>
          </w:r>
          <w:r>
            <w:rPr>
              <w:color w:val="FF0000"/>
              <w:szCs w:val="16"/>
            </w:rPr>
            <w:t>)</w:t>
          </w:r>
          <w:bookmarkEnd w:id="4"/>
        </w:p>
      </w:tc>
      <w:tc>
        <w:tcPr>
          <w:tcW w:w="3325" w:type="dxa"/>
          <w:tcBorders>
            <w:bottom w:val="single" w:color="auto" w:sz="4" w:space="0"/>
          </w:tcBorders>
          <w:tcMar>
            <w:top w:w="0" w:type="dxa"/>
            <w:left w:w="108" w:type="dxa"/>
            <w:bottom w:w="57" w:type="dxa"/>
            <w:right w:w="108" w:type="dxa"/>
          </w:tcMar>
          <w:vAlign w:val="bottom"/>
        </w:tcPr>
        <w:p w14:paraId="60A0A89E">
          <w:pPr>
            <w:jc w:val="right"/>
            <w:rPr>
              <w:szCs w:val="16"/>
            </w:rPr>
          </w:pPr>
          <w:bookmarkStart w:id="6"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bCs/>
              <w:szCs w:val="16"/>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bCs/>
              <w:szCs w:val="16"/>
            </w:rPr>
            <w:t>1</w:t>
          </w:r>
          <w:r>
            <w:rPr>
              <w:bCs/>
              <w:szCs w:val="16"/>
            </w:rPr>
            <w:fldChar w:fldCharType="end"/>
          </w:r>
          <w:bookmarkEnd w:id="6"/>
        </w:p>
      </w:tc>
    </w:tr>
    <w:tr w14:paraId="7E068A97">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38D28354">
          <w:pPr>
            <w:jc w:val="left"/>
            <w:rPr>
              <w:sz w:val="14"/>
              <w:szCs w:val="16"/>
            </w:rPr>
          </w:pPr>
          <w:bookmarkStart w:id="7" w:name="bmkCommittee"/>
          <w:r>
            <w:rPr>
              <w:b/>
            </w:rPr>
            <w:t>Committee on Technical Barriers to Trade</w:t>
          </w:r>
          <w:bookmarkEnd w:id="7"/>
        </w:p>
      </w:tc>
      <w:tc>
        <w:tcPr>
          <w:tcW w:w="3325" w:type="dxa"/>
          <w:tcBorders>
            <w:top w:val="single" w:color="auto" w:sz="4" w:space="0"/>
          </w:tcBorders>
          <w:tcMar>
            <w:top w:w="113" w:type="dxa"/>
            <w:left w:w="108" w:type="dxa"/>
            <w:bottom w:w="57" w:type="dxa"/>
            <w:right w:w="108" w:type="dxa"/>
          </w:tcMar>
          <w:vAlign w:val="center"/>
        </w:tcPr>
        <w:p w14:paraId="7F05010F">
          <w:pPr>
            <w:jc w:val="right"/>
            <w:rPr>
              <w:bCs/>
              <w:szCs w:val="18"/>
            </w:rPr>
          </w:pPr>
          <w:bookmarkStart w:id="8" w:name="bmkLanguage"/>
          <w:r>
            <w:rPr>
              <w:bCs/>
              <w:szCs w:val="18"/>
            </w:rPr>
            <w:t xml:space="preserve">Original: </w:t>
          </w:r>
          <w:bookmarkStart w:id="9" w:name="spsOriginalLanguage"/>
          <w:r>
            <w:rPr>
              <w:bCs/>
              <w:szCs w:val="18"/>
            </w:rPr>
            <w:t>English</w:t>
          </w:r>
          <w:bookmarkEnd w:id="8"/>
          <w:bookmarkEnd w:id="9"/>
        </w:p>
      </w:tc>
    </w:tr>
  </w:tbl>
  <w:p w14:paraId="5BFFC3A8">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removePersonalInformation/>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1ED6"/>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34E9"/>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E6FDF"/>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A22DF"/>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15298"/>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19684D71"/>
    <w:rsid w:val="45014E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unhideWhenUsed="0" w:uiPriority="1" w:semiHidden="0" w:name="List Bullet 2"/>
    <w:lsdException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CF3351-2547-4B7D-A17C-BC07B33AFA10}">
  <ds:schemaRefs/>
</ds:datastoreItem>
</file>

<file path=customXml/itemProps2.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Pages>2</Pages>
  <Words>656</Words>
  <Characters>3705</Characters>
  <Lines>18</Lines>
  <Paragraphs>5</Paragraphs>
  <TotalTime>0</TotalTime>
  <ScaleCrop>false</ScaleCrop>
  <LinksUpToDate>false</LinksUpToDate>
  <CharactersWithSpaces>4312</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2024-10-28T12:37:00Z</dcterms:created>
  <dc:description>LDIMD - DTU</dc:description>
  <dcterms:modified xsi:type="dcterms:W3CDTF">2025-07-03T15:45:19Z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2052-12.1.0.21541</vt:lpwstr>
  </property>
  <property fmtid="{D5CDD505-2E9C-101B-9397-08002B2CF9AE}" pid="7" name="ICV">
    <vt:lpwstr>828AA068733A4F5498308B4B037E69D3_12</vt:lpwstr>
  </property>
</Properties>
</file>