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66CE1">
      <w:pPr>
        <w:pStyle w:val="84"/>
        <w:rPr>
          <w:caps w:val="0"/>
          <w:kern w:val="0"/>
        </w:rPr>
      </w:pPr>
      <w:r>
        <w:rPr>
          <w:caps w:val="0"/>
          <w:kern w:val="0"/>
        </w:rPr>
        <w:t>NOTIFICATION</w:t>
      </w:r>
    </w:p>
    <w:p w14:paraId="6BDBFE94">
      <w:pPr>
        <w:jc w:val="center"/>
      </w:pPr>
      <w:r>
        <w:t>The following notification is being circulated in accordance with Article 10.6</w:t>
      </w:r>
    </w:p>
    <w:p w14:paraId="71C263EE"/>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EDC75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9809E84">
            <w:pPr>
              <w:spacing w:before="120" w:after="120"/>
              <w:jc w:val="left"/>
            </w:pPr>
            <w:r>
              <w:rPr>
                <w:b/>
              </w:rPr>
              <w:t>1.</w:t>
            </w:r>
          </w:p>
        </w:tc>
        <w:tc>
          <w:tcPr>
            <w:tcW w:w="8546" w:type="dxa"/>
            <w:tcBorders>
              <w:bottom w:val="single" w:color="auto" w:sz="6" w:space="0"/>
            </w:tcBorders>
            <w:shd w:val="clear" w:color="auto" w:fill="auto"/>
          </w:tcPr>
          <w:p w14:paraId="664E0DEF">
            <w:pPr>
              <w:spacing w:before="120" w:after="120"/>
            </w:pPr>
            <w:r>
              <w:rPr>
                <w:b/>
              </w:rPr>
              <w:t>Notifying Member:</w:t>
            </w:r>
            <w:r>
              <w:t xml:space="preserve"> </w:t>
            </w:r>
            <w:r>
              <w:rPr>
                <w:u w:val="single"/>
              </w:rPr>
              <w:t>THE STATE OF KUWAIT</w:t>
            </w:r>
          </w:p>
          <w:p w14:paraId="5B797DD0">
            <w:pPr>
              <w:spacing w:after="120"/>
            </w:pPr>
            <w:r>
              <w:rPr>
                <w:b/>
              </w:rPr>
              <w:t>If applicable, name of local government involved (Article 3.2 and 7.2):</w:t>
            </w:r>
            <w:r>
              <w:t xml:space="preserve"> </w:t>
            </w:r>
          </w:p>
        </w:tc>
      </w:tr>
      <w:tr w14:paraId="6F94D06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8CAB31">
            <w:pPr>
              <w:spacing w:before="120" w:after="120"/>
              <w:jc w:val="left"/>
            </w:pPr>
            <w:r>
              <w:rPr>
                <w:b/>
              </w:rPr>
              <w:t>2.</w:t>
            </w:r>
          </w:p>
        </w:tc>
        <w:tc>
          <w:tcPr>
            <w:tcW w:w="8546" w:type="dxa"/>
            <w:tcBorders>
              <w:top w:val="single" w:color="auto" w:sz="6" w:space="0"/>
              <w:bottom w:val="single" w:color="auto" w:sz="6" w:space="0"/>
            </w:tcBorders>
            <w:shd w:val="clear" w:color="auto" w:fill="auto"/>
          </w:tcPr>
          <w:p w14:paraId="119054B0">
            <w:pPr>
              <w:spacing w:before="120" w:after="120"/>
            </w:pPr>
            <w:r>
              <w:rPr>
                <w:b/>
              </w:rPr>
              <w:t>Agency responsible:</w:t>
            </w:r>
            <w:r>
              <w:t xml:space="preserve"> </w:t>
            </w:r>
          </w:p>
          <w:p w14:paraId="5A1B4201">
            <w:r>
              <w:t>Public Authority for Industry</w:t>
            </w:r>
          </w:p>
          <w:p w14:paraId="65D7E240">
            <w:pPr>
              <w:spacing w:after="120"/>
            </w:pPr>
            <w:r>
              <w:t>Standard and Metrology Department (KOWSMD)</w:t>
            </w:r>
          </w:p>
          <w:p w14:paraId="77E0366C">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A1A90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B0D0E4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EE8F561">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5A480C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82C7823">
            <w:pPr>
              <w:spacing w:before="120" w:after="120"/>
              <w:jc w:val="left"/>
            </w:pPr>
            <w:r>
              <w:rPr>
                <w:b/>
              </w:rPr>
              <w:t>4.</w:t>
            </w:r>
          </w:p>
        </w:tc>
        <w:tc>
          <w:tcPr>
            <w:tcW w:w="8546" w:type="dxa"/>
            <w:tcBorders>
              <w:top w:val="single" w:color="auto" w:sz="6" w:space="0"/>
              <w:bottom w:val="single" w:color="auto" w:sz="6" w:space="0"/>
            </w:tcBorders>
            <w:shd w:val="clear" w:color="auto" w:fill="auto"/>
          </w:tcPr>
          <w:p w14:paraId="5D09C143">
            <w:pPr>
              <w:spacing w:before="120" w:after="120"/>
            </w:pPr>
            <w:r>
              <w:rPr>
                <w:b/>
              </w:rPr>
              <w:t>Products covered (HS or CCCN where applicable, otherwise national tariff heading. ICS numbers may be provided in addition, where applicable):</w:t>
            </w:r>
            <w:r>
              <w:t xml:space="preserve"> All products fall under scope of "Portable residual current devices (PRCDs) without integral overcurrent protection for household and similar use" (ICS 29.120.01) Electrical accessories in general</w:t>
            </w:r>
          </w:p>
        </w:tc>
      </w:tr>
      <w:tr w14:paraId="70BAD0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916FFBA">
            <w:pPr>
              <w:spacing w:before="120" w:after="120"/>
              <w:jc w:val="left"/>
            </w:pPr>
            <w:r>
              <w:rPr>
                <w:b/>
              </w:rPr>
              <w:t>5.</w:t>
            </w:r>
          </w:p>
        </w:tc>
        <w:tc>
          <w:tcPr>
            <w:tcW w:w="8546" w:type="dxa"/>
            <w:tcBorders>
              <w:top w:val="single" w:color="auto" w:sz="6" w:space="0"/>
              <w:bottom w:val="single" w:color="auto" w:sz="6" w:space="0"/>
            </w:tcBorders>
            <w:shd w:val="clear" w:color="auto" w:fill="auto"/>
          </w:tcPr>
          <w:p w14:paraId="06314555">
            <w:pPr>
              <w:spacing w:before="120" w:after="120"/>
            </w:pPr>
            <w:r>
              <w:rPr>
                <w:b/>
              </w:rPr>
              <w:t>Title, number of pages and language(s) of the notified document:</w:t>
            </w:r>
            <w:r>
              <w:t xml:space="preserve"> Portable residual current devices (PRCDs) without integral overcurrent protection for household and similar use; (298 page(s), in English)</w:t>
            </w:r>
          </w:p>
        </w:tc>
      </w:tr>
      <w:tr w14:paraId="570B7D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D6A75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4DDC63B5">
            <w:pPr>
              <w:spacing w:before="120" w:after="120"/>
              <w:rPr>
                <w:b/>
              </w:rPr>
            </w:pPr>
            <w:r>
              <w:rPr>
                <w:b/>
              </w:rPr>
              <w:t>Description of content:</w:t>
            </w:r>
            <w:r>
              <w:t xml:space="preserve"> applies to portable residual current devices (PRCDs) for household and similar uses, consisting of a plug, a residual current device (RCD) and one or more socket-outlets or a provision for connection. They do not incorporate overcurrent protection. They are intended for single- and two-phase systems for rated currents not exceeding 16 A for rated voltages not exceeding 250 V AC, or for rated current not exceeding 32 A for rated voltages not exceeding 130 V AC to earth. They are intended to provide protection against shock hazard in case of direct contact, in addition to the protection provided by the fixed installations for the circuit downstream.</w:t>
            </w:r>
          </w:p>
          <w:p w14:paraId="1AE9FA43">
            <w:pPr>
              <w:spacing w:before="120" w:after="120"/>
            </w:pPr>
            <w:r>
              <w:t>This second edition cancels and replaces the first edition published in 1997 and its Amendment 1:1998. This edition constitutes a technical revision.</w:t>
            </w:r>
          </w:p>
          <w:p w14:paraId="1D329836">
            <w:pPr>
              <w:spacing w:before="120" w:after="120"/>
            </w:pPr>
            <w:r>
              <w:t>This edition includes the following significant technical changes with respect to the previous edition:</w:t>
            </w:r>
          </w:p>
          <w:p w14:paraId="3906081D">
            <w:pPr>
              <w:spacing w:before="120" w:after="120"/>
            </w:pPr>
            <w:r>
              <w:t>a) The content of the document was revised and aligned with IEC 60755 (group safety publication for residual current devices) and standard library "blocks and modules".</w:t>
            </w:r>
          </w:p>
          <w:p w14:paraId="377218BA">
            <w:pPr>
              <w:spacing w:before="120" w:after="120"/>
            </w:pPr>
            <w:r>
              <w:t>b) Introduction of classification "4.3 According to behaviour after opening automatically in case of failure of the line voltage".</w:t>
            </w:r>
          </w:p>
          <w:p w14:paraId="2F2B6965">
            <w:pPr>
              <w:spacing w:before="120" w:after="120"/>
            </w:pPr>
            <w:r>
              <w:t>c) New requirements and tests were added to cover the introduced protection function against shock hazard:</w:t>
            </w:r>
          </w:p>
          <w:p w14:paraId="2F7708A8">
            <w:pPr>
              <w:spacing w:before="120" w:after="120"/>
            </w:pPr>
            <w:r>
              <w:t>- Verification of correct performance in the case of missing protective conductor.</w:t>
            </w:r>
          </w:p>
          <w:p w14:paraId="0493DB05">
            <w:pPr>
              <w:spacing w:before="120" w:after="120"/>
            </w:pPr>
            <w:r>
              <w:t>- Verification of correct performance in the case of hazardous live protective conductor.</w:t>
            </w:r>
          </w:p>
          <w:p w14:paraId="3745F4F5">
            <w:pPr>
              <w:spacing w:before="120" w:after="120"/>
            </w:pPr>
            <w:r>
              <w:t>- Verification of correct performance in the case of loss of protective conductor.</w:t>
            </w:r>
          </w:p>
          <w:p w14:paraId="11D31FF1">
            <w:pPr>
              <w:spacing w:before="120" w:after="120"/>
            </w:pPr>
            <w:r>
              <w:t>- Verification of behaviour in the case of external fault current in the protective conductor.</w:t>
            </w:r>
          </w:p>
          <w:p w14:paraId="6B7D1838">
            <w:pPr>
              <w:spacing w:before="120" w:after="120"/>
            </w:pPr>
            <w:r>
              <w:t>d) Clearances/creepage distances revised and modified in alignment with IEC 62752 (IC-CPD).</w:t>
            </w:r>
          </w:p>
          <w:p w14:paraId="39171AF9">
            <w:pPr>
              <w:spacing w:before="120" w:after="120"/>
            </w:pPr>
            <w:r>
              <w:t>e) Revision of values for minimum operating voltages.</w:t>
            </w:r>
          </w:p>
          <w:p w14:paraId="46729B66">
            <w:pPr>
              <w:spacing w:before="120" w:after="120"/>
            </w:pPr>
            <w:r>
              <w:t>f) Introduction of requirements and test for ambient air temperature between −25 °C and +40 °C.</w:t>
            </w:r>
          </w:p>
          <w:p w14:paraId="35C062D6">
            <w:pPr>
              <w:spacing w:before="120" w:after="120"/>
            </w:pPr>
            <w:r>
              <w:t>g) Test of dielectric properties revised and aligned with standard library "blocks and modules".</w:t>
            </w:r>
          </w:p>
          <w:p w14:paraId="309C69DC">
            <w:pPr>
              <w:spacing w:before="120" w:after="120"/>
            </w:pPr>
            <w:r>
              <w:t>h) Relevant clauses aligned with IEC 62752 (IC-CPD); IC-CPD is a product standard describing similar product/features.</w:t>
            </w:r>
          </w:p>
          <w:p w14:paraId="7B95E6A6">
            <w:pPr>
              <w:spacing w:before="120" w:after="120"/>
            </w:pPr>
            <w:r>
              <w:t>i) All annexes revised and adapted to content of main document. It shall apply to water heaters with power under or equal to 70 kW.</w:t>
            </w:r>
          </w:p>
          <w:p w14:paraId="7DC7EBB2">
            <w:pPr>
              <w:spacing w:before="120" w:after="120"/>
              <w:rPr>
                <w:b/>
              </w:rPr>
            </w:pPr>
            <w:r>
              <w:t>It shall apply to products with a capacity up to 2,000 liters for all types of water heaters except for gas fired water heaters where the maximum capacity is 300 liters.</w:t>
            </w:r>
          </w:p>
        </w:tc>
      </w:tr>
      <w:tr w14:paraId="029677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ECA8E61">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C513D3">
            <w:pPr>
              <w:spacing w:before="120" w:after="120"/>
              <w:rPr>
                <w:b/>
              </w:rPr>
            </w:pPr>
            <w:r>
              <w:rPr>
                <w:b/>
              </w:rPr>
              <w:t>Objective and rationale, including the nature of urgent problems where applicable:</w:t>
            </w:r>
            <w:r>
              <w:t xml:space="preserve"> Protection of human health or safety</w:t>
            </w:r>
          </w:p>
        </w:tc>
      </w:tr>
      <w:tr w14:paraId="2693529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7D8C9E">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28887141">
            <w:pPr>
              <w:spacing w:before="120" w:after="120"/>
              <w:rPr>
                <w:bCs/>
              </w:rPr>
            </w:pPr>
            <w:r>
              <w:rPr>
                <w:b/>
              </w:rPr>
              <w:t>Relevant documents:</w:t>
            </w:r>
            <w:r>
              <w:t xml:space="preserve"> </w:t>
            </w:r>
          </w:p>
          <w:p w14:paraId="156D8BA7">
            <w:pPr>
              <w:spacing w:before="120" w:after="120"/>
            </w:pPr>
            <w:r>
              <w:t>GSO IEC 61540:2024</w:t>
            </w:r>
          </w:p>
        </w:tc>
      </w:tr>
      <w:tr w14:paraId="5744C23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CD56624">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21BC5EC1">
            <w:pPr>
              <w:spacing w:before="120" w:after="120"/>
            </w:pPr>
            <w:r>
              <w:rPr>
                <w:b/>
              </w:rPr>
              <w:t>Proposed date of adoption:</w:t>
            </w:r>
            <w:r>
              <w:t xml:space="preserve"> 30 days from final date for comments</w:t>
            </w:r>
          </w:p>
          <w:p w14:paraId="528BC656">
            <w:pPr>
              <w:spacing w:after="120"/>
            </w:pPr>
            <w:r>
              <w:rPr>
                <w:b/>
              </w:rPr>
              <w:t>Proposed date of entry into force:</w:t>
            </w:r>
            <w:r>
              <w:t xml:space="preserve"> 6 months from adoption</w:t>
            </w:r>
          </w:p>
        </w:tc>
      </w:tr>
      <w:tr w14:paraId="2998C9A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DC4E58">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C0CA5FD">
            <w:pPr>
              <w:spacing w:before="120" w:after="120"/>
              <w:rPr>
                <w:rFonts w:hint="eastAsia" w:eastAsia="宋体"/>
                <w:bCs/>
                <w:lang w:eastAsia="zh-CN"/>
              </w:rPr>
            </w:pPr>
            <w:r>
              <w:rPr>
                <w:b/>
              </w:rPr>
              <w:t>Final date for comments:</w:t>
            </w:r>
            <w:r>
              <w:t xml:space="preserve"> 30 August 2025</w:t>
            </w:r>
            <w:r>
              <w:rPr>
                <w:rFonts w:hint="eastAsia" w:eastAsia="宋体"/>
                <w:lang w:eastAsia="zh-CN"/>
              </w:rPr>
              <w:t>，</w:t>
            </w:r>
          </w:p>
          <w:p w14:paraId="1005B86B">
            <w:pPr>
              <w:spacing w:before="120" w:after="120"/>
            </w:pPr>
            <w:r>
              <w:rPr>
                <w:b/>
                <w:bCs/>
              </w:rPr>
              <w:t>[X] 60 days from notification</w:t>
            </w:r>
          </w:p>
        </w:tc>
      </w:tr>
      <w:tr w14:paraId="2BE0DC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57D62DC">
            <w:pPr>
              <w:keepNext/>
              <w:keepLines/>
              <w:spacing w:before="120" w:after="120"/>
              <w:jc w:val="left"/>
              <w:rPr>
                <w:b/>
              </w:rPr>
            </w:pPr>
            <w:r>
              <w:rPr>
                <w:b/>
              </w:rPr>
              <w:t>11.</w:t>
            </w:r>
          </w:p>
        </w:tc>
        <w:tc>
          <w:tcPr>
            <w:tcW w:w="8546" w:type="dxa"/>
            <w:tcBorders>
              <w:top w:val="single" w:color="auto" w:sz="6" w:space="0"/>
            </w:tcBorders>
            <w:shd w:val="clear" w:color="auto" w:fill="auto"/>
          </w:tcPr>
          <w:p w14:paraId="1646858A">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0A362527">
            <w:r>
              <w:t>Public Authority for Industry</w:t>
            </w:r>
          </w:p>
          <w:p w14:paraId="5A3C07F5">
            <w:r>
              <w:t>P.O.Box 4690, Safat</w:t>
            </w:r>
          </w:p>
          <w:p w14:paraId="4C0A2416">
            <w:pPr>
              <w:rPr>
                <w:lang w:val="fr-CH"/>
              </w:rPr>
            </w:pPr>
            <w:r>
              <w:rPr>
                <w:lang w:val="fr-CH"/>
              </w:rPr>
              <w:t>13047 Kuwait</w:t>
            </w:r>
          </w:p>
          <w:p w14:paraId="3C1730EA">
            <w:pPr>
              <w:rPr>
                <w:lang w:val="fr-CH"/>
              </w:rPr>
            </w:pPr>
            <w:r>
              <w:rPr>
                <w:lang w:val="fr-CH"/>
              </w:rPr>
              <w:t>Tel: (+965) 25302622</w:t>
            </w:r>
          </w:p>
          <w:p w14:paraId="60BC6170">
            <w:pPr>
              <w:rPr>
                <w:lang w:val="fr-CH"/>
              </w:rPr>
            </w:pPr>
            <w:r>
              <w:rPr>
                <w:lang w:val="fr-CH"/>
              </w:rPr>
              <w:t xml:space="preserve">E-mail: </w:t>
            </w:r>
            <w:r>
              <w:fldChar w:fldCharType="begin"/>
            </w:r>
            <w:r>
              <w:instrText xml:space="preserve"> HYPERLINK "mailto:Enquiry_point@pai.gov.kw" </w:instrText>
            </w:r>
            <w:r>
              <w:fldChar w:fldCharType="separate"/>
            </w:r>
            <w:r>
              <w:rPr>
                <w:color w:val="0000FF"/>
                <w:u w:val="single"/>
                <w:lang w:val="fr-CH"/>
              </w:rPr>
              <w:t>Enquiry_point@pai.gov.kw</w:t>
            </w:r>
            <w:r>
              <w:rPr>
                <w:color w:val="0000FF"/>
                <w:u w:val="single"/>
                <w:lang w:val="fr-CH"/>
              </w:rPr>
              <w:fldChar w:fldCharType="end"/>
            </w:r>
          </w:p>
          <w:p w14:paraId="3286EC2A">
            <w:pPr>
              <w:keepNext/>
              <w:keepLines/>
              <w:rPr>
                <w:bCs/>
              </w:rPr>
            </w:pPr>
            <w:r>
              <w:t xml:space="preserve">Website: </w:t>
            </w:r>
            <w:r>
              <w:fldChar w:fldCharType="begin"/>
            </w:r>
            <w:r>
              <w:instrText xml:space="preserve"> HYPERLINK "http://www.pai.gov.kw/" \t "_blank" </w:instrText>
            </w:r>
            <w:r>
              <w:fldChar w:fldCharType="separate"/>
            </w:r>
            <w:r>
              <w:rPr>
                <w:color w:val="0000FF"/>
                <w:u w:val="single"/>
              </w:rPr>
              <w:t>http://www.pai.gov.kw/</w:t>
            </w:r>
            <w:r>
              <w:rPr>
                <w:color w:val="0000FF"/>
                <w:u w:val="single"/>
              </w:rPr>
              <w:fldChar w:fldCharType="end"/>
            </w:r>
            <w:bookmarkStart w:id="11" w:name="_GoBack"/>
            <w:bookmarkEnd w:id="11"/>
          </w:p>
          <w:p w14:paraId="62888EF3">
            <w:pPr>
              <w:keepNext/>
              <w:keepLines/>
              <w:pBdr>
                <w:top w:val="none" w:color="auto" w:sz="0" w:space="4"/>
              </w:pBdr>
              <w:spacing w:after="120"/>
              <w:rPr>
                <w:bCs/>
              </w:rPr>
            </w:pPr>
          </w:p>
          <w:p w14:paraId="32BD8CD2">
            <w:pPr>
              <w:keepNext/>
              <w:keepLines/>
              <w:pBdr>
                <w:top w:val="none" w:color="auto" w:sz="0" w:space="4"/>
              </w:pBdr>
              <w:spacing w:after="120"/>
              <w:rPr>
                <w:bCs/>
              </w:rPr>
            </w:pPr>
            <w:r>
              <w:fldChar w:fldCharType="begin"/>
            </w:r>
            <w:r>
              <w:instrText xml:space="preserve"> HYPERLINK "https://members.wto.org/crnattachments/2025/TBT/KWT/25_04238_00_e.pdf" \t "_blank" </w:instrText>
            </w:r>
            <w:r>
              <w:fldChar w:fldCharType="separate"/>
            </w:r>
            <w:r>
              <w:rPr>
                <w:iCs/>
                <w:color w:val="0000FF"/>
                <w:u w:val="single"/>
              </w:rPr>
              <w:t>https://members.wto.org/crnattachments/2025/TBT/KWT/25_04238_00_e.pdf</w:t>
            </w:r>
            <w:r>
              <w:rPr>
                <w:iCs/>
                <w:color w:val="0000FF"/>
                <w:u w:val="single"/>
              </w:rPr>
              <w:fldChar w:fldCharType="end"/>
            </w:r>
          </w:p>
        </w:tc>
      </w:tr>
    </w:tbl>
    <w:p w14:paraId="6C787E6E"/>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0562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595EE">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DF5A6">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46893">
    <w:pPr>
      <w:pStyle w:val="58"/>
      <w:pBdr>
        <w:bottom w:val="single" w:color="auto" w:sz="4" w:space="1"/>
      </w:pBdr>
      <w:tabs>
        <w:tab w:val="clear" w:pos="4513"/>
        <w:tab w:val="clear" w:pos="9027"/>
      </w:tabs>
      <w:jc w:val="center"/>
    </w:pPr>
    <w:bookmarkStart w:id="0" w:name="spsSymbolHeader"/>
    <w:r>
      <w:t>G/TBT/N/KWT/698</w:t>
    </w:r>
    <w:bookmarkEnd w:id="0"/>
  </w:p>
  <w:p w14:paraId="0A7CBC0D">
    <w:pPr>
      <w:pStyle w:val="58"/>
      <w:pBdr>
        <w:bottom w:val="single" w:color="auto" w:sz="4" w:space="1"/>
      </w:pBdr>
      <w:tabs>
        <w:tab w:val="clear" w:pos="4513"/>
        <w:tab w:val="clear" w:pos="9027"/>
      </w:tabs>
      <w:jc w:val="center"/>
    </w:pPr>
  </w:p>
  <w:p w14:paraId="6E4700B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4F4071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57260">
    <w:pPr>
      <w:pStyle w:val="58"/>
      <w:pBdr>
        <w:bottom w:val="single" w:color="auto" w:sz="4" w:space="1"/>
      </w:pBdr>
      <w:tabs>
        <w:tab w:val="clear" w:pos="4513"/>
        <w:tab w:val="clear" w:pos="9027"/>
      </w:tabs>
      <w:jc w:val="center"/>
    </w:pPr>
    <w:r>
      <w:t>tbtSymbol</w:t>
    </w:r>
  </w:p>
  <w:p w14:paraId="66F1A703">
    <w:pPr>
      <w:pStyle w:val="58"/>
      <w:pBdr>
        <w:bottom w:val="single" w:color="auto" w:sz="4" w:space="1"/>
      </w:pBdr>
      <w:tabs>
        <w:tab w:val="clear" w:pos="4513"/>
        <w:tab w:val="clear" w:pos="9027"/>
      </w:tabs>
      <w:jc w:val="center"/>
    </w:pPr>
  </w:p>
  <w:p w14:paraId="5FA10BA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048351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333AB2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F273D90">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7F71937A">
          <w:pPr>
            <w:jc w:val="right"/>
            <w:rPr>
              <w:b/>
              <w:color w:val="FF0000"/>
              <w:szCs w:val="16"/>
            </w:rPr>
          </w:pPr>
        </w:p>
      </w:tc>
    </w:tr>
    <w:bookmarkEnd w:id="1"/>
    <w:tr w14:paraId="29BE975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03AC0E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9082D4C">
          <w:pPr>
            <w:jc w:val="right"/>
            <w:rPr>
              <w:b/>
              <w:szCs w:val="16"/>
            </w:rPr>
          </w:pPr>
        </w:p>
      </w:tc>
    </w:tr>
    <w:tr w14:paraId="18CCC648">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FC109E7">
          <w:pPr>
            <w:jc w:val="left"/>
            <w:rPr>
              <w:lang w:eastAsia="en-GB"/>
            </w:rPr>
          </w:pPr>
        </w:p>
      </w:tc>
      <w:tc>
        <w:tcPr>
          <w:tcW w:w="5448" w:type="dxa"/>
          <w:gridSpan w:val="2"/>
          <w:shd w:val="clear" w:color="auto" w:fill="FFFFFF"/>
          <w:tcMar>
            <w:left w:w="108" w:type="dxa"/>
            <w:right w:w="108" w:type="dxa"/>
          </w:tcMar>
        </w:tcPr>
        <w:p w14:paraId="7BA58ADA">
          <w:pPr>
            <w:jc w:val="right"/>
            <w:rPr>
              <w:rFonts w:hint="default" w:eastAsia="宋体"/>
              <w:b/>
              <w:szCs w:val="16"/>
              <w:lang w:val="en-US" w:eastAsia="zh-CN"/>
            </w:rPr>
          </w:pPr>
          <w:bookmarkStart w:id="2" w:name="bmkSymbols"/>
          <w:r>
            <w:rPr>
              <w:b/>
              <w:szCs w:val="16"/>
            </w:rPr>
            <w:t>G/TBT/N/KWT/</w:t>
          </w:r>
          <w:bookmarkEnd w:id="2"/>
          <w:r>
            <w:rPr>
              <w:rFonts w:hint="eastAsia" w:eastAsia="宋体"/>
              <w:b/>
              <w:szCs w:val="16"/>
              <w:lang w:val="en-US" w:eastAsia="zh-CN"/>
            </w:rPr>
            <w:t>721</w:t>
          </w:r>
        </w:p>
      </w:tc>
    </w:tr>
    <w:tr w14:paraId="2C652B5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2DF8004"/>
      </w:tc>
      <w:tc>
        <w:tcPr>
          <w:tcW w:w="5448" w:type="dxa"/>
          <w:gridSpan w:val="2"/>
          <w:shd w:val="clear" w:color="auto" w:fill="FFFFFF"/>
          <w:tcMar>
            <w:left w:w="108" w:type="dxa"/>
            <w:right w:w="108" w:type="dxa"/>
          </w:tcMar>
          <w:vAlign w:val="center"/>
        </w:tcPr>
        <w:p w14:paraId="533ED459">
          <w:pPr>
            <w:jc w:val="right"/>
            <w:rPr>
              <w:szCs w:val="16"/>
            </w:rPr>
          </w:pPr>
          <w:bookmarkStart w:id="3" w:name="spsDateDistribution"/>
          <w:bookmarkEnd w:id="3"/>
          <w:bookmarkStart w:id="4" w:name="bmkDate"/>
          <w:bookmarkEnd w:id="4"/>
          <w:r>
            <w:rPr>
              <w:szCs w:val="16"/>
            </w:rPr>
            <w:t>1 July 2025</w:t>
          </w:r>
        </w:p>
      </w:tc>
    </w:tr>
    <w:tr w14:paraId="0E71A4F8">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03C33EC">
          <w:pPr>
            <w:jc w:val="left"/>
            <w:rPr>
              <w:b/>
            </w:rPr>
          </w:pPr>
          <w:bookmarkStart w:id="5" w:name="bmkSerial"/>
          <w:r>
            <w:rPr>
              <w:color w:val="FF0000"/>
              <w:szCs w:val="16"/>
            </w:rPr>
            <w:t>(</w:t>
          </w:r>
          <w:bookmarkStart w:id="6" w:name="spsSerialNumber"/>
          <w:bookmarkEnd w:id="6"/>
          <w:r>
            <w:rPr>
              <w:color w:val="FF0000"/>
              <w:szCs w:val="16"/>
            </w:rPr>
            <w:t>24-</w:t>
          </w:r>
          <w:r>
            <w:rPr>
              <w:rFonts w:hint="eastAsia" w:eastAsia="宋体"/>
              <w:color w:val="FF0000"/>
              <w:szCs w:val="16"/>
              <w:lang w:val="en-US" w:eastAsia="zh-CN"/>
            </w:rPr>
            <w:t>4236</w:t>
          </w:r>
          <w:r>
            <w:rPr>
              <w:color w:val="FF0000"/>
              <w:szCs w:val="16"/>
            </w:rPr>
            <w:t>)</w:t>
          </w:r>
          <w:bookmarkEnd w:id="5"/>
        </w:p>
      </w:tc>
      <w:tc>
        <w:tcPr>
          <w:tcW w:w="3325" w:type="dxa"/>
          <w:tcBorders>
            <w:bottom w:val="single" w:color="auto" w:sz="4" w:space="0"/>
          </w:tcBorders>
          <w:tcMar>
            <w:top w:w="0" w:type="dxa"/>
            <w:left w:w="108" w:type="dxa"/>
            <w:bottom w:w="57" w:type="dxa"/>
            <w:right w:w="108" w:type="dxa"/>
          </w:tcMar>
          <w:vAlign w:val="bottom"/>
        </w:tcPr>
        <w:p w14:paraId="60A0A89E">
          <w:pPr>
            <w:jc w:val="right"/>
            <w:rPr>
              <w:szCs w:val="16"/>
            </w:rPr>
          </w:pPr>
          <w:bookmarkStart w:id="7"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7"/>
        </w:p>
      </w:tc>
    </w:tr>
    <w:tr w14:paraId="7E068A9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8D28354">
          <w:pPr>
            <w:jc w:val="left"/>
            <w:rPr>
              <w:sz w:val="14"/>
              <w:szCs w:val="16"/>
            </w:rPr>
          </w:pPr>
          <w:bookmarkStart w:id="8" w:name="bmkCommittee"/>
          <w:r>
            <w:rPr>
              <w:b/>
            </w:rPr>
            <w:t>Committee on Technical Barriers to Trade</w:t>
          </w:r>
          <w:bookmarkEnd w:id="8"/>
        </w:p>
      </w:tc>
      <w:tc>
        <w:tcPr>
          <w:tcW w:w="3325" w:type="dxa"/>
          <w:tcBorders>
            <w:top w:val="single" w:color="auto" w:sz="4" w:space="0"/>
          </w:tcBorders>
          <w:tcMar>
            <w:top w:w="113" w:type="dxa"/>
            <w:left w:w="108" w:type="dxa"/>
            <w:bottom w:w="57" w:type="dxa"/>
            <w:right w:w="108" w:type="dxa"/>
          </w:tcMar>
          <w:vAlign w:val="center"/>
        </w:tcPr>
        <w:p w14:paraId="7F05010F">
          <w:pPr>
            <w:jc w:val="right"/>
            <w:rPr>
              <w:bCs/>
              <w:szCs w:val="18"/>
            </w:rPr>
          </w:pPr>
          <w:bookmarkStart w:id="9" w:name="bmkLanguage"/>
          <w:r>
            <w:rPr>
              <w:bCs/>
              <w:szCs w:val="18"/>
            </w:rPr>
            <w:t xml:space="preserve">Original: </w:t>
          </w:r>
          <w:bookmarkStart w:id="10" w:name="spsOriginalLanguage"/>
          <w:r>
            <w:rPr>
              <w:bCs/>
              <w:szCs w:val="18"/>
            </w:rPr>
            <w:t>English</w:t>
          </w:r>
          <w:bookmarkEnd w:id="9"/>
          <w:bookmarkEnd w:id="10"/>
        </w:p>
      </w:tc>
    </w:tr>
  </w:tbl>
  <w:p w14:paraId="5BFFC3A8">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1ED6"/>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34E9"/>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E6FDF"/>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A22DF"/>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5298"/>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9684D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unhideWhenUsed="0" w:uiPriority="67" w:semiHidden="0" w:name="Medium Grid 1"/>
    <w:lsdException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BFCF3351-2547-4B7D-A17C-BC07B33AFA10}">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304</Words>
  <Characters>1935</Characters>
  <Lines>18</Lines>
  <Paragraphs>5</Paragraphs>
  <TotalTime>0</TotalTime>
  <ScaleCrop>false</ScaleCrop>
  <LinksUpToDate>false</LinksUpToDate>
  <CharactersWithSpaces>2203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2024-10-28T12:37:00Z</dcterms:created>
  <dc:description>LDIMD - DTU</dc:description>
  <dcterms:modified xsi:type="dcterms:W3CDTF">2025-07-03T15:43:04Z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828AA068733A4F5498308B4B037E69D3_12</vt:lpwstr>
  </property>
</Properties>
</file>