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29160B">
      <w:pPr>
        <w:pStyle w:val="84"/>
        <w:rPr>
          <w:caps w:val="0"/>
          <w:kern w:val="0"/>
        </w:rPr>
      </w:pPr>
      <w:r>
        <w:rPr>
          <w:caps w:val="0"/>
          <w:kern w:val="0"/>
        </w:rPr>
        <w:t>NOTIFICATION</w:t>
      </w:r>
    </w:p>
    <w:p w14:paraId="533F7179">
      <w:pPr>
        <w:jc w:val="center"/>
      </w:pPr>
      <w:r>
        <w:t>The following notification is being circulated in accordance with Article 10.6</w:t>
      </w:r>
    </w:p>
    <w:p w14:paraId="43F101C1"/>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43177C8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0FDD17F1">
            <w:pPr>
              <w:spacing w:before="120" w:after="120"/>
              <w:jc w:val="left"/>
            </w:pPr>
            <w:r>
              <w:rPr>
                <w:b/>
              </w:rPr>
              <w:t>1.</w:t>
            </w:r>
          </w:p>
        </w:tc>
        <w:tc>
          <w:tcPr>
            <w:tcW w:w="8546" w:type="dxa"/>
            <w:tcBorders>
              <w:bottom w:val="single" w:color="auto" w:sz="6" w:space="0"/>
            </w:tcBorders>
            <w:shd w:val="clear" w:color="auto" w:fill="auto"/>
          </w:tcPr>
          <w:p w14:paraId="2FEC2F53">
            <w:pPr>
              <w:spacing w:before="120" w:after="120"/>
            </w:pPr>
            <w:r>
              <w:rPr>
                <w:b/>
              </w:rPr>
              <w:t>Notifying Member:</w:t>
            </w:r>
            <w:r>
              <w:t xml:space="preserve"> </w:t>
            </w:r>
            <w:r>
              <w:rPr>
                <w:u w:val="single"/>
              </w:rPr>
              <w:t>EGYPT</w:t>
            </w:r>
          </w:p>
          <w:p w14:paraId="12E05487">
            <w:pPr>
              <w:spacing w:after="120"/>
            </w:pPr>
            <w:r>
              <w:rPr>
                <w:b/>
              </w:rPr>
              <w:t>If applicable, name of local governm</w:t>
            </w:r>
            <w:bookmarkStart w:id="10" w:name="_GoBack"/>
            <w:bookmarkEnd w:id="10"/>
            <w:r>
              <w:rPr>
                <w:b/>
              </w:rPr>
              <w:t>ent involved (Article 3.2 and 7.2):</w:t>
            </w:r>
            <w:r>
              <w:t xml:space="preserve"> </w:t>
            </w:r>
          </w:p>
        </w:tc>
      </w:tr>
      <w:tr w14:paraId="04E385E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71258A8">
            <w:pPr>
              <w:spacing w:before="120" w:after="120"/>
              <w:jc w:val="left"/>
            </w:pPr>
            <w:r>
              <w:rPr>
                <w:b/>
              </w:rPr>
              <w:t>2.</w:t>
            </w:r>
          </w:p>
        </w:tc>
        <w:tc>
          <w:tcPr>
            <w:tcW w:w="8546" w:type="dxa"/>
            <w:tcBorders>
              <w:top w:val="single" w:color="auto" w:sz="6" w:space="0"/>
              <w:bottom w:val="single" w:color="auto" w:sz="6" w:space="0"/>
            </w:tcBorders>
            <w:shd w:val="clear" w:color="auto" w:fill="auto"/>
          </w:tcPr>
          <w:p w14:paraId="15E015A7">
            <w:pPr>
              <w:spacing w:before="120" w:after="120"/>
            </w:pPr>
            <w:r>
              <w:rPr>
                <w:b/>
              </w:rPr>
              <w:t>Agency responsible:</w:t>
            </w:r>
            <w:r>
              <w:t xml:space="preserve"> </w:t>
            </w:r>
          </w:p>
          <w:p w14:paraId="50AB5B71">
            <w:r>
              <w:t>Egyptian Organization for Standardization and Quality</w:t>
            </w:r>
          </w:p>
          <w:p w14:paraId="58DFEB98">
            <w:r>
              <w:t>16 Tadreeb El-Modarrebeen St., Ameriya, Cairo – Egypt</w:t>
            </w:r>
          </w:p>
          <w:p w14:paraId="215E157D">
            <w:r>
              <w:t xml:space="preserve">E-mail: </w:t>
            </w:r>
            <w:r>
              <w:fldChar w:fldCharType="begin"/>
            </w:r>
            <w:r>
              <w:instrText xml:space="preserve"> HYPERLINK "mailto:eos@eos.org.eg" </w:instrText>
            </w:r>
            <w:r>
              <w:fldChar w:fldCharType="separate"/>
            </w:r>
            <w:r>
              <w:rPr>
                <w:color w:val="0000FF"/>
                <w:u w:val="single"/>
              </w:rPr>
              <w:t>eos@eos.org.eg</w:t>
            </w:r>
            <w:r>
              <w:rPr>
                <w:color w:val="0000FF"/>
                <w:u w:val="single"/>
              </w:rPr>
              <w:fldChar w:fldCharType="end"/>
            </w:r>
            <w:r>
              <w:t xml:space="preserve"> / </w:t>
            </w:r>
            <w:r>
              <w:fldChar w:fldCharType="begin"/>
            </w:r>
            <w:r>
              <w:instrText xml:space="preserve"> HYPERLINK "mailto:eos.tbt@eos.org.eg" </w:instrText>
            </w:r>
            <w:r>
              <w:fldChar w:fldCharType="separate"/>
            </w:r>
            <w:r>
              <w:rPr>
                <w:color w:val="0000FF"/>
                <w:u w:val="single"/>
              </w:rPr>
              <w:t>eos.tbt@eos.org.eg</w:t>
            </w:r>
            <w:r>
              <w:rPr>
                <w:color w:val="0000FF"/>
                <w:u w:val="single"/>
              </w:rPr>
              <w:fldChar w:fldCharType="end"/>
            </w:r>
          </w:p>
          <w:p w14:paraId="316B2C23">
            <w:r>
              <w:t xml:space="preserve">Website: </w:t>
            </w:r>
            <w:r>
              <w:fldChar w:fldCharType="begin"/>
            </w:r>
            <w:r>
              <w:instrText xml:space="preserve"> HYPERLINK "http://www.eos.org.eg" \t "_blank" </w:instrText>
            </w:r>
            <w:r>
              <w:fldChar w:fldCharType="separate"/>
            </w:r>
            <w:r>
              <w:rPr>
                <w:color w:val="0000FF"/>
                <w:u w:val="single"/>
              </w:rPr>
              <w:t>http://www.eos.org.eg</w:t>
            </w:r>
            <w:r>
              <w:rPr>
                <w:color w:val="0000FF"/>
                <w:u w:val="single"/>
              </w:rPr>
              <w:fldChar w:fldCharType="end"/>
            </w:r>
          </w:p>
          <w:p w14:paraId="7788F861">
            <w:r>
              <w:t>Tel.: + (202) 22845528</w:t>
            </w:r>
          </w:p>
          <w:p w14:paraId="5CAD8DE2">
            <w:pPr>
              <w:spacing w:after="120"/>
            </w:pPr>
            <w:r>
              <w:t>Fax: + (202) 22845504</w:t>
            </w:r>
          </w:p>
          <w:p w14:paraId="0928FFA1">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576DEC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793B9AB">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6946A00C">
            <w:pPr>
              <w:spacing w:before="120" w:after="120"/>
            </w:pPr>
            <w:r>
              <w:rPr>
                <w:b/>
              </w:rPr>
              <w:t>Notified under Article 2.9.2 [X], 2.10.1 [ ], 5.6.2 [ ], 5.7.1 [ ], 3.2 [ ], 7.2 [ ], other:</w:t>
            </w:r>
            <w:r>
              <w:t xml:space="preserve"> </w:t>
            </w:r>
          </w:p>
        </w:tc>
      </w:tr>
      <w:tr w14:paraId="4626B51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C4D39C8">
            <w:pPr>
              <w:spacing w:before="120" w:after="120"/>
              <w:jc w:val="left"/>
            </w:pPr>
            <w:r>
              <w:rPr>
                <w:b/>
              </w:rPr>
              <w:t>4.</w:t>
            </w:r>
          </w:p>
        </w:tc>
        <w:tc>
          <w:tcPr>
            <w:tcW w:w="8546" w:type="dxa"/>
            <w:tcBorders>
              <w:top w:val="single" w:color="auto" w:sz="6" w:space="0"/>
              <w:bottom w:val="single" w:color="auto" w:sz="6" w:space="0"/>
            </w:tcBorders>
            <w:shd w:val="clear" w:color="auto" w:fill="auto"/>
          </w:tcPr>
          <w:p w14:paraId="49AE7E0E">
            <w:pPr>
              <w:spacing w:before="120" w:after="120"/>
            </w:pPr>
            <w:r>
              <w:rPr>
                <w:b/>
              </w:rPr>
              <w:t>Products covered (HS or CCCN where applicable, otherwise national tariff heading. ICS numbers may be provided in addition, where applicable):</w:t>
            </w:r>
            <w:r>
              <w:t xml:space="preserve"> Other standards related to microbiology (ICS code(s): 07.100.99); Toys (ICS code(s): 97.200.50)</w:t>
            </w:r>
          </w:p>
        </w:tc>
      </w:tr>
      <w:tr w14:paraId="548B05E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5FE945D">
            <w:pPr>
              <w:spacing w:before="120" w:after="120"/>
              <w:jc w:val="left"/>
            </w:pPr>
            <w:r>
              <w:rPr>
                <w:b/>
              </w:rPr>
              <w:t>5.</w:t>
            </w:r>
          </w:p>
        </w:tc>
        <w:tc>
          <w:tcPr>
            <w:tcW w:w="8546" w:type="dxa"/>
            <w:tcBorders>
              <w:top w:val="single" w:color="auto" w:sz="6" w:space="0"/>
              <w:bottom w:val="single" w:color="auto" w:sz="6" w:space="0"/>
            </w:tcBorders>
            <w:shd w:val="clear" w:color="auto" w:fill="auto"/>
          </w:tcPr>
          <w:p w14:paraId="7964A6A9">
            <w:pPr>
              <w:spacing w:before="120" w:after="120"/>
            </w:pPr>
            <w:r>
              <w:rPr>
                <w:b/>
              </w:rPr>
              <w:t>Title, number of pages and language(s) of the notified document:</w:t>
            </w:r>
            <w:r>
              <w:t xml:space="preserve"> Draft of Egyptian standard ES 3123-15 for "Safety of toys – Part 15: Microbiological safety".; (14 page(s), in Arabic)</w:t>
            </w:r>
          </w:p>
        </w:tc>
      </w:tr>
      <w:tr w14:paraId="624AA45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46DBB5D">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1639280B">
            <w:pPr>
              <w:spacing w:before="120" w:after="120"/>
              <w:rPr>
                <w:b/>
              </w:rPr>
            </w:pPr>
            <w:r>
              <w:rPr>
                <w:b/>
              </w:rPr>
              <w:t>Description of content:</w:t>
            </w:r>
            <w:r>
              <w:t xml:space="preserve"> This draft standard specifies acceptable criteria for microbiological cleanliness and adequacy of preservation of the specified toy materials. The requirements in this document apply to all toys that are, contain or are supplied with aqueous materials (e.g. paste, putty, liquid or gel). In addition, this document applies to toys that are or include a cosmetic (including those intended for use on a toy as well as on the child). Powders and similar substances intended to be mixed with water are also within the scope of this document.</w:t>
            </w:r>
          </w:p>
          <w:p w14:paraId="0893DD14">
            <w:pPr>
              <w:numPr>
                <w:ilvl w:val="0"/>
                <w:numId w:val="0"/>
              </w:numPr>
              <w:spacing w:before="120" w:after="120"/>
            </w:pPr>
            <w:r>
              <w:t>Worth mentioning is that this draft standard is technically identical with ISO 8124- 12/2023.</w:t>
            </w:r>
          </w:p>
        </w:tc>
      </w:tr>
      <w:tr w14:paraId="52FF1B9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48F1A15">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60E88339">
            <w:pPr>
              <w:spacing w:before="120" w:after="120"/>
              <w:rPr>
                <w:b/>
              </w:rPr>
            </w:pPr>
            <w:r>
              <w:rPr>
                <w:b/>
              </w:rPr>
              <w:t>Objective and rationale, including the nature of urgent problems where applicable:</w:t>
            </w:r>
            <w:r>
              <w:t xml:space="preserve"> Safety requirements; Quality requirements</w:t>
            </w:r>
          </w:p>
        </w:tc>
      </w:tr>
      <w:tr w14:paraId="08B01EF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FD3442F">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06EB7301">
            <w:pPr>
              <w:spacing w:before="120" w:after="120"/>
              <w:rPr>
                <w:bCs/>
              </w:rPr>
            </w:pPr>
            <w:r>
              <w:rPr>
                <w:b/>
              </w:rPr>
              <w:t>Relevant documents:</w:t>
            </w:r>
            <w:r>
              <w:t xml:space="preserve"> </w:t>
            </w:r>
          </w:p>
          <w:p w14:paraId="79889B06">
            <w:pPr>
              <w:numPr>
                <w:ilvl w:val="0"/>
                <w:numId w:val="7"/>
              </w:numPr>
              <w:spacing w:before="120" w:after="120"/>
            </w:pPr>
            <w:r>
              <w:t>ISO 8124- 12/2023</w:t>
            </w:r>
          </w:p>
        </w:tc>
      </w:tr>
      <w:tr w14:paraId="6D0EC66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67A148F1">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1782383">
            <w:pPr>
              <w:spacing w:before="120" w:after="120"/>
            </w:pPr>
            <w:r>
              <w:rPr>
                <w:b/>
              </w:rPr>
              <w:t>Proposed date of adoption:</w:t>
            </w:r>
            <w:r>
              <w:t xml:space="preserve"> To be determined</w:t>
            </w:r>
          </w:p>
          <w:p w14:paraId="68F729E3">
            <w:pPr>
              <w:spacing w:after="120"/>
            </w:pPr>
            <w:r>
              <w:rPr>
                <w:b/>
              </w:rPr>
              <w:t>Proposed date of entry into force:</w:t>
            </w:r>
            <w:r>
              <w:t xml:space="preserve"> To be determined</w:t>
            </w:r>
          </w:p>
        </w:tc>
      </w:tr>
      <w:tr w14:paraId="2891B46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ADD33B4">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036678E">
            <w:pPr>
              <w:spacing w:before="120" w:after="120"/>
              <w:rPr>
                <w:rFonts w:hint="eastAsia" w:eastAsia="宋体"/>
                <w:bCs/>
                <w:lang w:eastAsia="zh-CN"/>
              </w:rPr>
            </w:pPr>
            <w:r>
              <w:rPr>
                <w:b/>
              </w:rPr>
              <w:t>Final date for comments:</w:t>
            </w:r>
            <w:r>
              <w:t xml:space="preserve"> 1 September 2025</w:t>
            </w:r>
            <w:r>
              <w:rPr>
                <w:rFonts w:hint="eastAsia" w:eastAsia="宋体"/>
                <w:lang w:eastAsia="zh-CN"/>
              </w:rPr>
              <w:t>，</w:t>
            </w:r>
          </w:p>
          <w:p w14:paraId="7E43105C">
            <w:pPr>
              <w:tabs>
                <w:tab w:val="left" w:pos="1418"/>
                <w:tab w:val="left" w:pos="2127"/>
                <w:tab w:val="left" w:pos="2835"/>
                <w:tab w:val="left" w:pos="3402"/>
              </w:tabs>
              <w:spacing w:before="120" w:after="120"/>
            </w:pPr>
            <w:r>
              <w:rPr>
                <w:b/>
                <w:bCs/>
              </w:rPr>
              <w:t>[X] 60 days from notification</w:t>
            </w:r>
            <w:r>
              <w:t xml:space="preserve"> </w:t>
            </w:r>
          </w:p>
        </w:tc>
      </w:tr>
      <w:tr w14:paraId="7433086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78C1EB44">
            <w:pPr>
              <w:keepNext/>
              <w:keepLines/>
              <w:spacing w:before="120" w:after="120"/>
              <w:jc w:val="left"/>
              <w:rPr>
                <w:b/>
              </w:rPr>
            </w:pPr>
            <w:r>
              <w:rPr>
                <w:b/>
              </w:rPr>
              <w:t>11.</w:t>
            </w:r>
          </w:p>
        </w:tc>
        <w:tc>
          <w:tcPr>
            <w:tcW w:w="8546" w:type="dxa"/>
            <w:tcBorders>
              <w:top w:val="single" w:color="auto" w:sz="6" w:space="0"/>
            </w:tcBorders>
            <w:shd w:val="clear" w:color="auto" w:fill="auto"/>
          </w:tcPr>
          <w:p w14:paraId="426B7D79">
            <w:pPr>
              <w:keepNext/>
              <w:keepLines/>
              <w:spacing w:before="120" w:after="120"/>
            </w:pPr>
            <w:r>
              <w:rPr>
                <w:b/>
              </w:rPr>
              <w:t>Texts available from: National enquiry point [] or address, telephone and fax numbers and email and website addresses, if available, of other body:</w:t>
            </w:r>
            <w:r>
              <w:rPr>
                <w:bCs/>
              </w:rPr>
              <w:t xml:space="preserve"> </w:t>
            </w:r>
          </w:p>
          <w:p w14:paraId="552205DD">
            <w:pPr>
              <w:rPr>
                <w:iCs/>
              </w:rPr>
            </w:pPr>
            <w:r>
              <w:rPr>
                <w:iCs/>
              </w:rPr>
              <w:t>Egyptian Organization for Standardization and Quality</w:t>
            </w:r>
          </w:p>
          <w:p w14:paraId="1547D80A">
            <w:pPr>
              <w:rPr>
                <w:iCs/>
              </w:rPr>
            </w:pPr>
            <w:r>
              <w:rPr>
                <w:iCs/>
              </w:rPr>
              <w:t>16 Tadreeb El-Modarrebeen St., Ameriya, Cairo - Egypt</w:t>
            </w:r>
          </w:p>
          <w:p w14:paraId="0037A891">
            <w:pPr>
              <w:rPr>
                <w:iCs/>
              </w:rPr>
            </w:pPr>
            <w:r>
              <w:rPr>
                <w:iCs/>
              </w:rPr>
              <w:t xml:space="preserve">E-mail: </w:t>
            </w:r>
            <w:r>
              <w:fldChar w:fldCharType="begin"/>
            </w:r>
            <w:r>
              <w:instrText xml:space="preserve"> HYPERLINK "mailto:eos@eos.org.eg" </w:instrText>
            </w:r>
            <w:r>
              <w:fldChar w:fldCharType="separate"/>
            </w:r>
            <w:r>
              <w:rPr>
                <w:iCs/>
                <w:color w:val="0000FF"/>
                <w:u w:val="single"/>
              </w:rPr>
              <w:t>eos@eos.org.eg</w:t>
            </w:r>
            <w:r>
              <w:rPr>
                <w:iCs/>
                <w:color w:val="0000FF"/>
                <w:u w:val="single"/>
              </w:rPr>
              <w:fldChar w:fldCharType="end"/>
            </w:r>
            <w:r>
              <w:rPr>
                <w:iCs/>
              </w:rPr>
              <w:t xml:space="preserve"> / </w:t>
            </w:r>
            <w:r>
              <w:fldChar w:fldCharType="begin"/>
            </w:r>
            <w:r>
              <w:instrText xml:space="preserve"> HYPERLINK "mailto:eos.tbt@eos.org.eg" </w:instrText>
            </w:r>
            <w:r>
              <w:fldChar w:fldCharType="separate"/>
            </w:r>
            <w:r>
              <w:rPr>
                <w:iCs/>
                <w:color w:val="0000FF"/>
                <w:u w:val="single"/>
              </w:rPr>
              <w:t>eos.tbt@eos.org.eg</w:t>
            </w:r>
            <w:r>
              <w:rPr>
                <w:iCs/>
                <w:color w:val="0000FF"/>
                <w:u w:val="single"/>
              </w:rPr>
              <w:fldChar w:fldCharType="end"/>
            </w:r>
          </w:p>
          <w:p w14:paraId="724A673D">
            <w:pPr>
              <w:rPr>
                <w:iCs/>
              </w:rPr>
            </w:pPr>
            <w:r>
              <w:rPr>
                <w:iCs/>
              </w:rPr>
              <w:t xml:space="preserve">Website: </w:t>
            </w:r>
            <w:r>
              <w:fldChar w:fldCharType="begin"/>
            </w:r>
            <w:r>
              <w:instrText xml:space="preserve"> HYPERLINK "http://www.eos.org.eg" \t "_blank" </w:instrText>
            </w:r>
            <w:r>
              <w:fldChar w:fldCharType="separate"/>
            </w:r>
            <w:r>
              <w:rPr>
                <w:iCs/>
                <w:color w:val="0000FF"/>
                <w:u w:val="single"/>
              </w:rPr>
              <w:t>http://www.eos.org.eg</w:t>
            </w:r>
            <w:r>
              <w:rPr>
                <w:iCs/>
                <w:color w:val="0000FF"/>
                <w:u w:val="single"/>
              </w:rPr>
              <w:fldChar w:fldCharType="end"/>
            </w:r>
          </w:p>
          <w:p w14:paraId="2B678194">
            <w:pPr>
              <w:rPr>
                <w:iCs/>
              </w:rPr>
            </w:pPr>
            <w:r>
              <w:rPr>
                <w:iCs/>
              </w:rPr>
              <w:t>Tel.: (+202) 22845528</w:t>
            </w:r>
          </w:p>
          <w:p w14:paraId="0AC41916">
            <w:pPr>
              <w:keepNext/>
              <w:keepLines/>
              <w:spacing w:after="120"/>
              <w:rPr>
                <w:bCs/>
              </w:rPr>
            </w:pPr>
            <w:r>
              <w:rPr>
                <w:iCs/>
              </w:rPr>
              <w:t>Fax: (+202) 22845504</w:t>
            </w:r>
          </w:p>
        </w:tc>
      </w:tr>
    </w:tbl>
    <w:p w14:paraId="64D549E0"/>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Consolas">
    <w:panose1 w:val="020B0609020204030204"/>
    <w:charset w:val="00"/>
    <w:family w:val="modern"/>
    <w:pitch w:val="default"/>
    <w:sig w:usb0="E10002FF" w:usb1="4000FCFF" w:usb2="00000009" w:usb3="00000000" w:csb0="6000019F" w:csb1="DFD7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D78C0">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951CB">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E8AF0">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DA3FF">
    <w:pPr>
      <w:pStyle w:val="58"/>
      <w:pBdr>
        <w:bottom w:val="single" w:color="auto" w:sz="4" w:space="1"/>
      </w:pBdr>
      <w:tabs>
        <w:tab w:val="clear" w:pos="4513"/>
        <w:tab w:val="clear" w:pos="9027"/>
      </w:tabs>
      <w:jc w:val="center"/>
    </w:pPr>
    <w:bookmarkStart w:id="9" w:name="spsSymbolHeader"/>
    <w:r>
      <w:t>G/TBT/N/EGY/545</w:t>
    </w:r>
    <w:bookmarkEnd w:id="9"/>
  </w:p>
  <w:p w14:paraId="02591C79">
    <w:pPr>
      <w:pStyle w:val="58"/>
      <w:pBdr>
        <w:bottom w:val="single" w:color="auto" w:sz="4" w:space="1"/>
      </w:pBdr>
      <w:tabs>
        <w:tab w:val="clear" w:pos="4513"/>
        <w:tab w:val="clear" w:pos="9027"/>
      </w:tabs>
      <w:jc w:val="center"/>
    </w:pPr>
  </w:p>
  <w:p w14:paraId="2FA5EF3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BD7506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36E08">
    <w:pPr>
      <w:pStyle w:val="58"/>
      <w:pBdr>
        <w:bottom w:val="single" w:color="auto" w:sz="4" w:space="1"/>
      </w:pBdr>
      <w:tabs>
        <w:tab w:val="clear" w:pos="4513"/>
        <w:tab w:val="clear" w:pos="9027"/>
      </w:tabs>
      <w:jc w:val="center"/>
    </w:pPr>
    <w:r>
      <w:t>tbtSymbol</w:t>
    </w:r>
  </w:p>
  <w:p w14:paraId="7C40F6D5">
    <w:pPr>
      <w:pStyle w:val="58"/>
      <w:pBdr>
        <w:bottom w:val="single" w:color="auto" w:sz="4" w:space="1"/>
      </w:pBdr>
      <w:tabs>
        <w:tab w:val="clear" w:pos="4513"/>
        <w:tab w:val="clear" w:pos="9027"/>
      </w:tabs>
      <w:jc w:val="center"/>
    </w:pPr>
  </w:p>
  <w:p w14:paraId="634A369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311E6BAC">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73537B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E40A47A">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0F2A1C7">
          <w:pPr>
            <w:jc w:val="right"/>
            <w:rPr>
              <w:b/>
              <w:color w:val="FF0000"/>
              <w:szCs w:val="16"/>
            </w:rPr>
          </w:pPr>
        </w:p>
      </w:tc>
    </w:tr>
    <w:bookmarkEnd w:id="0"/>
    <w:tr w14:paraId="1480B0CE">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FA855CE">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7F09B3F">
          <w:pPr>
            <w:jc w:val="right"/>
            <w:rPr>
              <w:b/>
              <w:szCs w:val="16"/>
            </w:rPr>
          </w:pPr>
        </w:p>
      </w:tc>
    </w:tr>
    <w:tr w14:paraId="18E80AB0">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80B9E69">
          <w:pPr>
            <w:jc w:val="left"/>
            <w:rPr>
              <w:lang w:eastAsia="en-GB"/>
            </w:rPr>
          </w:pPr>
        </w:p>
      </w:tc>
      <w:tc>
        <w:tcPr>
          <w:tcW w:w="5448" w:type="dxa"/>
          <w:gridSpan w:val="2"/>
          <w:shd w:val="clear" w:color="auto" w:fill="FFFFFF"/>
          <w:tcMar>
            <w:left w:w="108" w:type="dxa"/>
            <w:right w:w="108" w:type="dxa"/>
          </w:tcMar>
        </w:tcPr>
        <w:p w14:paraId="60C8F83C">
          <w:pPr>
            <w:jc w:val="right"/>
            <w:rPr>
              <w:rFonts w:hint="default" w:eastAsia="宋体"/>
              <w:b/>
              <w:szCs w:val="16"/>
              <w:lang w:val="en-US" w:eastAsia="zh-CN"/>
            </w:rPr>
          </w:pPr>
          <w:bookmarkStart w:id="1" w:name="bmkSymbols"/>
          <w:r>
            <w:rPr>
              <w:b/>
              <w:szCs w:val="16"/>
            </w:rPr>
            <w:t>G/TBT/N/EGY/5</w:t>
          </w:r>
          <w:bookmarkEnd w:id="1"/>
          <w:r>
            <w:rPr>
              <w:rFonts w:hint="eastAsia" w:eastAsia="宋体"/>
              <w:b/>
              <w:szCs w:val="16"/>
              <w:lang w:val="en-US" w:eastAsia="zh-CN"/>
            </w:rPr>
            <w:t>50</w:t>
          </w:r>
        </w:p>
      </w:tc>
    </w:tr>
    <w:tr w14:paraId="53E25AFB">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18EEC334"/>
      </w:tc>
      <w:tc>
        <w:tcPr>
          <w:tcW w:w="5448" w:type="dxa"/>
          <w:gridSpan w:val="2"/>
          <w:shd w:val="clear" w:color="auto" w:fill="FFFFFF"/>
          <w:tcMar>
            <w:left w:w="108" w:type="dxa"/>
            <w:right w:w="108" w:type="dxa"/>
          </w:tcMar>
          <w:vAlign w:val="center"/>
        </w:tcPr>
        <w:p w14:paraId="1AC35D63">
          <w:pPr>
            <w:jc w:val="right"/>
            <w:rPr>
              <w:szCs w:val="16"/>
            </w:rPr>
          </w:pPr>
          <w:bookmarkStart w:id="2" w:name="bmkDate"/>
          <w:bookmarkStart w:id="3" w:name="spsDateDistribution"/>
          <w:r>
            <w:rPr>
              <w:rFonts w:hint="eastAsia" w:eastAsia="宋体"/>
              <w:szCs w:val="16"/>
              <w:lang w:val="en-US" w:eastAsia="zh-CN"/>
            </w:rPr>
            <w:t>3</w:t>
          </w:r>
          <w:r>
            <w:rPr>
              <w:szCs w:val="16"/>
            </w:rPr>
            <w:t xml:space="preserve"> July 2025</w:t>
          </w:r>
          <w:bookmarkEnd w:id="2"/>
          <w:bookmarkEnd w:id="3"/>
        </w:p>
      </w:tc>
    </w:tr>
    <w:tr w14:paraId="011FD6E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DC93BFB">
          <w:pPr>
            <w:jc w:val="left"/>
            <w:rPr>
              <w:b/>
            </w:rPr>
          </w:pPr>
          <w:bookmarkStart w:id="4" w:name="bmkSerial"/>
          <w:r>
            <w:rPr>
              <w:b w:val="0"/>
              <w:color w:val="FF0000"/>
            </w:rPr>
            <w:t>(25-</w:t>
          </w:r>
          <w:r>
            <w:rPr>
              <w:rFonts w:hint="eastAsia" w:eastAsia="宋体"/>
              <w:b w:val="0"/>
              <w:color w:val="FF0000"/>
              <w:lang w:val="en-US" w:eastAsia="zh-CN"/>
            </w:rPr>
            <w:t>4298</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1C0EDC22">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6FDB825A">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D84FC05">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1C50EF4">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3249D1F">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C"/>
    <w:multiLevelType w:val="multilevel"/>
    <w:tmpl w:val="63D526BC"/>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501A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65DD5"/>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06D50"/>
    <w:rsid w:val="00612644"/>
    <w:rsid w:val="00623F9F"/>
    <w:rsid w:val="00643C1F"/>
    <w:rsid w:val="00655881"/>
    <w:rsid w:val="0066043C"/>
    <w:rsid w:val="006607BC"/>
    <w:rsid w:val="00672511"/>
    <w:rsid w:val="00672583"/>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231F"/>
    <w:rsid w:val="008935B1"/>
    <w:rsid w:val="00893E85"/>
    <w:rsid w:val="008953C4"/>
    <w:rsid w:val="008B223A"/>
    <w:rsid w:val="008B4A10"/>
    <w:rsid w:val="008B4FB8"/>
    <w:rsid w:val="008C1339"/>
    <w:rsid w:val="008D641C"/>
    <w:rsid w:val="008E372C"/>
    <w:rsid w:val="008E67DC"/>
    <w:rsid w:val="009239F7"/>
    <w:rsid w:val="00933ECA"/>
    <w:rsid w:val="00934ABC"/>
    <w:rsid w:val="00941BE9"/>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D285FF7"/>
    <w:rsid w:val="0F4D2E20"/>
    <w:rsid w:val="10FF07C3"/>
    <w:rsid w:val="24784D9F"/>
    <w:rsid w:val="2C005C05"/>
    <w:rsid w:val="2C8B7F33"/>
    <w:rsid w:val="49087354"/>
    <w:rsid w:val="56D460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926EF-77D7-44BB-9629-BC8622EDC140}">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348</Words>
  <Characters>2043</Characters>
  <Lines>24</Lines>
  <Paragraphs>6</Paragraphs>
  <TotalTime>0</TotalTime>
  <ScaleCrop>false</ScaleCrop>
  <LinksUpToDate>false</LinksUpToDate>
  <CharactersWithSpaces>2355</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2025-05-12T12:21:00Z</dcterms:created>
  <dc:creator>mark louie medidas</dc:creator>
  <dc:description>LDIMD - DTU</dc:description>
  <cp:lastModifiedBy>fanxiaoxuan</cp:lastModifiedBy>
  <dcterms:modified xsi:type="dcterms:W3CDTF">2025-07-04T02:57:20Z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eyJoZGlkIjoiYzU2ZjVjM2FlNTE3OTRiNTQ3MzA3ZGI5YmExMTViYmEiLCJ1c2VySWQiOiI2NjE4MzI4NTIifQ==</vt:lpwstr>
  </property>
  <property fmtid="{D5CDD505-2E9C-101B-9397-08002B2CF9AE}" pid="6" name="KSOProductBuildVer">
    <vt:lpwstr>2052-12.1.0.21541</vt:lpwstr>
  </property>
  <property fmtid="{D5CDD505-2E9C-101B-9397-08002B2CF9AE}" pid="7" name="ICV">
    <vt:lpwstr>06E12CCFB1914920A4FF84D89CAB0FBD_12</vt:lpwstr>
  </property>
</Properties>
</file>