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9160B">
      <w:pPr>
        <w:pStyle w:val="84"/>
        <w:rPr>
          <w:caps w:val="0"/>
          <w:kern w:val="0"/>
        </w:rPr>
      </w:pPr>
      <w:r>
        <w:rPr>
          <w:caps w:val="0"/>
          <w:kern w:val="0"/>
        </w:rPr>
        <w:t>NOTIFICATION</w:t>
      </w:r>
    </w:p>
    <w:p w14:paraId="533F7179">
      <w:pPr>
        <w:jc w:val="center"/>
      </w:pPr>
      <w:r>
        <w:t>The following notification is being circulated in accordance with Article 10.6</w:t>
      </w:r>
    </w:p>
    <w:p w14:paraId="43F101C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43177C8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0FDD17F1">
            <w:pPr>
              <w:spacing w:before="120" w:after="120"/>
              <w:jc w:val="left"/>
            </w:pPr>
            <w:r>
              <w:rPr>
                <w:b/>
              </w:rPr>
              <w:t>1.</w:t>
            </w:r>
          </w:p>
        </w:tc>
        <w:tc>
          <w:tcPr>
            <w:tcW w:w="8546" w:type="dxa"/>
            <w:tcBorders>
              <w:bottom w:val="single" w:color="auto" w:sz="6" w:space="0"/>
            </w:tcBorders>
            <w:shd w:val="clear" w:color="auto" w:fill="auto"/>
          </w:tcPr>
          <w:p w14:paraId="2FEC2F53">
            <w:pPr>
              <w:spacing w:before="120" w:after="120"/>
            </w:pPr>
            <w:r>
              <w:rPr>
                <w:b/>
              </w:rPr>
              <w:t>Notifying Member:</w:t>
            </w:r>
            <w:r>
              <w:t xml:space="preserve"> </w:t>
            </w:r>
            <w:r>
              <w:rPr>
                <w:u w:val="single"/>
              </w:rPr>
              <w:t>EGYPT</w:t>
            </w:r>
          </w:p>
          <w:p w14:paraId="12E05487">
            <w:pPr>
              <w:spacing w:after="120"/>
            </w:pPr>
            <w:r>
              <w:rPr>
                <w:b/>
              </w:rPr>
              <w:t>If applicable, name of local government involved (Article 3.2 and 7.2):</w:t>
            </w:r>
            <w:r>
              <w:t xml:space="preserve"> </w:t>
            </w:r>
          </w:p>
        </w:tc>
      </w:tr>
      <w:tr w14:paraId="04E385E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71258A8">
            <w:pPr>
              <w:spacing w:before="120" w:after="120"/>
              <w:jc w:val="left"/>
            </w:pPr>
            <w:r>
              <w:rPr>
                <w:b/>
              </w:rPr>
              <w:t>2.</w:t>
            </w:r>
          </w:p>
        </w:tc>
        <w:tc>
          <w:tcPr>
            <w:tcW w:w="8546" w:type="dxa"/>
            <w:tcBorders>
              <w:top w:val="single" w:color="auto" w:sz="6" w:space="0"/>
              <w:bottom w:val="single" w:color="auto" w:sz="6" w:space="0"/>
            </w:tcBorders>
            <w:shd w:val="clear" w:color="auto" w:fill="auto"/>
          </w:tcPr>
          <w:p w14:paraId="15E015A7">
            <w:pPr>
              <w:spacing w:before="120" w:after="120"/>
            </w:pPr>
            <w:r>
              <w:rPr>
                <w:b/>
              </w:rPr>
              <w:t>Agency responsible:</w:t>
            </w:r>
            <w:r>
              <w:t xml:space="preserve"> </w:t>
            </w:r>
          </w:p>
          <w:p w14:paraId="50AB5B71">
            <w:r>
              <w:t>Egyptian Organization for Standardization and Quality</w:t>
            </w:r>
          </w:p>
          <w:p w14:paraId="58DFEB98">
            <w:r>
              <w:t>16 Tadreeb El-Modarrebeen St., Ameriya, Cairo – Egypt</w:t>
            </w:r>
          </w:p>
          <w:p w14:paraId="215E157D">
            <w:r>
              <w:t xml:space="preserve">E-mail: </w:t>
            </w:r>
            <w:r>
              <w:fldChar w:fldCharType="begin"/>
            </w:r>
            <w:r>
              <w:instrText xml:space="preserve"> HYPERLINK "mailto:eos@eos.org.eg" </w:instrText>
            </w:r>
            <w:r>
              <w:fldChar w:fldCharType="separate"/>
            </w:r>
            <w:r>
              <w:rPr>
                <w:color w:val="0000FF"/>
                <w:u w:val="single"/>
              </w:rPr>
              <w:t>eos@eos.org.eg</w:t>
            </w:r>
            <w:r>
              <w:rPr>
                <w:color w:val="0000FF"/>
                <w:u w:val="single"/>
              </w:rPr>
              <w:fldChar w:fldCharType="end"/>
            </w:r>
            <w:r>
              <w:t xml:space="preserve"> / </w:t>
            </w:r>
            <w:r>
              <w:fldChar w:fldCharType="begin"/>
            </w:r>
            <w:r>
              <w:instrText xml:space="preserve"> HYPERLINK "mailto:eos.tbt@eos.org.eg" </w:instrText>
            </w:r>
            <w:r>
              <w:fldChar w:fldCharType="separate"/>
            </w:r>
            <w:r>
              <w:rPr>
                <w:color w:val="0000FF"/>
                <w:u w:val="single"/>
              </w:rPr>
              <w:t>eos.tbt@eos.org.eg</w:t>
            </w:r>
            <w:r>
              <w:rPr>
                <w:color w:val="0000FF"/>
                <w:u w:val="single"/>
              </w:rPr>
              <w:fldChar w:fldCharType="end"/>
            </w:r>
          </w:p>
          <w:p w14:paraId="316B2C23">
            <w:r>
              <w:t xml:space="preserve">Website: </w:t>
            </w:r>
            <w:r>
              <w:fldChar w:fldCharType="begin"/>
            </w:r>
            <w:r>
              <w:instrText xml:space="preserve"> HYPERLINK "http://www.eos.org.eg" \t "_blank" </w:instrText>
            </w:r>
            <w:r>
              <w:fldChar w:fldCharType="separate"/>
            </w:r>
            <w:r>
              <w:rPr>
                <w:color w:val="0000FF"/>
                <w:u w:val="single"/>
              </w:rPr>
              <w:t>http://www.eos.org.eg</w:t>
            </w:r>
            <w:r>
              <w:rPr>
                <w:color w:val="0000FF"/>
                <w:u w:val="single"/>
              </w:rPr>
              <w:fldChar w:fldCharType="end"/>
            </w:r>
          </w:p>
          <w:p w14:paraId="7788F861">
            <w:r>
              <w:t>Tel.: + (202) 22845528</w:t>
            </w:r>
          </w:p>
          <w:p w14:paraId="5CAD8DE2">
            <w:pPr>
              <w:spacing w:after="120"/>
            </w:pPr>
            <w:r>
              <w:t>Fax: + (202) 22845504</w:t>
            </w:r>
          </w:p>
          <w:p w14:paraId="0928FFA1">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576DEC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793B9A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6946A00C">
            <w:pPr>
              <w:spacing w:before="120" w:after="120"/>
            </w:pPr>
            <w:r>
              <w:rPr>
                <w:b/>
              </w:rPr>
              <w:t>Notified under Article 2.9.2 [X], 2.10.1 [ ], 5.6.2 [ ], 5.7.1 [ ], 3.2 [ ], 7.2 [ ], other:</w:t>
            </w:r>
            <w:r>
              <w:t xml:space="preserve"> </w:t>
            </w:r>
          </w:p>
        </w:tc>
      </w:tr>
      <w:tr w14:paraId="4626B5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4D39C8">
            <w:pPr>
              <w:spacing w:before="120" w:after="120"/>
              <w:jc w:val="left"/>
            </w:pPr>
            <w:r>
              <w:rPr>
                <w:b/>
              </w:rPr>
              <w:t>4.</w:t>
            </w:r>
          </w:p>
        </w:tc>
        <w:tc>
          <w:tcPr>
            <w:tcW w:w="8546" w:type="dxa"/>
            <w:tcBorders>
              <w:top w:val="single" w:color="auto" w:sz="6" w:space="0"/>
              <w:bottom w:val="single" w:color="auto" w:sz="6" w:space="0"/>
            </w:tcBorders>
            <w:shd w:val="clear" w:color="auto" w:fill="auto"/>
          </w:tcPr>
          <w:p w14:paraId="49AE7E0E">
            <w:pPr>
              <w:spacing w:before="120" w:after="120"/>
            </w:pPr>
            <w:r>
              <w:rPr>
                <w:b/>
              </w:rPr>
              <w:t>Products covered (HS or CCCN where applicable, otherwise national tariff heading. ICS numbers may be provided in addition, where applicable):</w:t>
            </w:r>
            <w:r>
              <w:t xml:space="preserve"> Fruits and derived products (ICS code(s): 67.080.10)</w:t>
            </w:r>
          </w:p>
        </w:tc>
      </w:tr>
      <w:tr w14:paraId="548B05E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FE945D">
            <w:pPr>
              <w:spacing w:before="120" w:after="120"/>
              <w:jc w:val="left"/>
            </w:pPr>
            <w:r>
              <w:rPr>
                <w:b/>
              </w:rPr>
              <w:t>5.</w:t>
            </w:r>
          </w:p>
        </w:tc>
        <w:tc>
          <w:tcPr>
            <w:tcW w:w="8546" w:type="dxa"/>
            <w:tcBorders>
              <w:top w:val="single" w:color="auto" w:sz="6" w:space="0"/>
              <w:bottom w:val="single" w:color="auto" w:sz="6" w:space="0"/>
            </w:tcBorders>
            <w:shd w:val="clear" w:color="auto" w:fill="auto"/>
          </w:tcPr>
          <w:p w14:paraId="7964A6A9">
            <w:pPr>
              <w:spacing w:before="120" w:after="120"/>
            </w:pPr>
            <w:r>
              <w:rPr>
                <w:b/>
              </w:rPr>
              <w:t>Title, number of pages and language(s) of the notified document:</w:t>
            </w:r>
            <w:r>
              <w:t xml:space="preserve"> Draft of Egyptian standard ES: 6933 for "</w:t>
            </w:r>
            <w:r>
              <w:rPr>
                <w:b/>
                <w:bCs/>
              </w:rPr>
              <w:t xml:space="preserve"> </w:t>
            </w:r>
            <w:r>
              <w:t>Quick-Frozen Cauliflower".; (15 page(s), in Arabic)</w:t>
            </w:r>
          </w:p>
        </w:tc>
      </w:tr>
      <w:tr w14:paraId="624AA4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6DBB5D">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731D74EC">
            <w:pPr>
              <w:spacing w:before="120" w:after="120"/>
              <w:rPr>
                <w:b/>
              </w:rPr>
            </w:pPr>
            <w:r>
              <w:rPr>
                <w:b/>
              </w:rPr>
              <w:t>Description of content:</w:t>
            </w:r>
            <w:r>
              <w:t xml:space="preserve"> This draft of Egyptian standard specifies the basic requirements and descriptive criteria for "quick-frozen cauliflower" defined in item (2) of this standard and intended for direct consumption including food preparation purposes without any other manufacturing process other than size grading or repackaging if necessary.</w:t>
            </w:r>
          </w:p>
          <w:p w14:paraId="06BADC96">
            <w:pPr>
              <w:numPr>
                <w:ilvl w:val="0"/>
                <w:numId w:val="0"/>
              </w:numPr>
              <w:spacing w:before="120" w:after="120"/>
            </w:pPr>
            <w:r>
              <w:t>Worth mentioning is that this draft standard is technically identical with CXS 320-2015 adopted in 2015, revised in 2017, 2020, amended in 2022.</w:t>
            </w:r>
          </w:p>
        </w:tc>
      </w:tr>
      <w:tr w14:paraId="52FF1B9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48F1A15">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0E88339">
            <w:pPr>
              <w:spacing w:before="120" w:after="120"/>
              <w:rPr>
                <w:b/>
              </w:rPr>
            </w:pPr>
            <w:r>
              <w:rPr>
                <w:b/>
              </w:rPr>
              <w:t>Objective and rationale, including the nature of urgent problems where applicable:</w:t>
            </w:r>
            <w:r>
              <w:t xml:space="preserve"> Safety requirements; Quality requirements</w:t>
            </w:r>
          </w:p>
        </w:tc>
      </w:tr>
      <w:tr w14:paraId="08B01EF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D3442F">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06EB7301">
            <w:pPr>
              <w:spacing w:before="120" w:after="120"/>
              <w:rPr>
                <w:bCs/>
              </w:rPr>
            </w:pPr>
            <w:r>
              <w:rPr>
                <w:b/>
              </w:rPr>
              <w:t>Relevant documents:</w:t>
            </w:r>
            <w:r>
              <w:t xml:space="preserve"> </w:t>
            </w:r>
          </w:p>
          <w:p w14:paraId="79889B06">
            <w:pPr>
              <w:numPr>
                <w:ilvl w:val="0"/>
                <w:numId w:val="7"/>
              </w:numPr>
              <w:spacing w:before="120" w:after="120"/>
            </w:pPr>
            <w:r>
              <w:t>CXS 320-2015 Adopted in 2015, Revised in 2017, 2020, Amended in 2022.</w:t>
            </w:r>
          </w:p>
        </w:tc>
      </w:tr>
      <w:tr w14:paraId="6D0EC6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7A148F1">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1782383">
            <w:pPr>
              <w:spacing w:before="120" w:after="120"/>
            </w:pPr>
            <w:r>
              <w:rPr>
                <w:b/>
              </w:rPr>
              <w:t>Proposed date of adoption:</w:t>
            </w:r>
            <w:r>
              <w:t xml:space="preserve"> To be determined</w:t>
            </w:r>
          </w:p>
          <w:p w14:paraId="68F729E3">
            <w:pPr>
              <w:spacing w:after="120"/>
            </w:pPr>
            <w:r>
              <w:rPr>
                <w:b/>
              </w:rPr>
              <w:t>Proposed date of entry into force:</w:t>
            </w:r>
            <w:r>
              <w:t xml:space="preserve"> To be determined</w:t>
            </w:r>
          </w:p>
        </w:tc>
      </w:tr>
      <w:tr w14:paraId="2891B4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ADD33B4">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036678E">
            <w:pPr>
              <w:spacing w:before="120" w:after="120"/>
              <w:rPr>
                <w:rFonts w:hint="eastAsia" w:eastAsia="宋体"/>
                <w:bCs/>
                <w:lang w:eastAsia="zh-CN"/>
              </w:rPr>
            </w:pPr>
            <w:r>
              <w:rPr>
                <w:b/>
              </w:rPr>
              <w:t>Final date for comments:</w:t>
            </w:r>
            <w:r>
              <w:t xml:space="preserve"> 1 September 2025</w:t>
            </w:r>
            <w:bookmarkStart w:id="10" w:name="_GoBack"/>
            <w:bookmarkEnd w:id="10"/>
            <w:r>
              <w:rPr>
                <w:rFonts w:hint="eastAsia" w:eastAsia="宋体"/>
                <w:lang w:eastAsia="zh-CN"/>
              </w:rPr>
              <w:t>，</w:t>
            </w:r>
          </w:p>
          <w:p w14:paraId="7E43105C">
            <w:pPr>
              <w:tabs>
                <w:tab w:val="left" w:pos="1418"/>
                <w:tab w:val="left" w:pos="2127"/>
                <w:tab w:val="left" w:pos="2835"/>
                <w:tab w:val="left" w:pos="3402"/>
              </w:tabs>
              <w:spacing w:before="120" w:after="120"/>
            </w:pPr>
            <w:r>
              <w:rPr>
                <w:b/>
                <w:bCs/>
              </w:rPr>
              <w:t>[X] 60 days from notification</w:t>
            </w:r>
            <w:r>
              <w:t xml:space="preserve"> </w:t>
            </w:r>
          </w:p>
        </w:tc>
      </w:tr>
      <w:tr w14:paraId="743308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78C1EB44">
            <w:pPr>
              <w:keepNext/>
              <w:keepLines/>
              <w:spacing w:before="120" w:after="120"/>
              <w:jc w:val="left"/>
              <w:rPr>
                <w:b/>
              </w:rPr>
            </w:pPr>
            <w:r>
              <w:rPr>
                <w:b/>
              </w:rPr>
              <w:t>11.</w:t>
            </w:r>
          </w:p>
        </w:tc>
        <w:tc>
          <w:tcPr>
            <w:tcW w:w="8546" w:type="dxa"/>
            <w:tcBorders>
              <w:top w:val="single" w:color="auto" w:sz="6" w:space="0"/>
            </w:tcBorders>
            <w:shd w:val="clear" w:color="auto" w:fill="auto"/>
          </w:tcPr>
          <w:p w14:paraId="426B7D79">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552205DD">
            <w:pPr>
              <w:rPr>
                <w:iCs/>
              </w:rPr>
            </w:pPr>
            <w:r>
              <w:rPr>
                <w:iCs/>
              </w:rPr>
              <w:t>Egyptian Organization for Standardization and Quality</w:t>
            </w:r>
          </w:p>
          <w:p w14:paraId="1547D80A">
            <w:pPr>
              <w:rPr>
                <w:iCs/>
              </w:rPr>
            </w:pPr>
            <w:r>
              <w:rPr>
                <w:iCs/>
              </w:rPr>
              <w:t>16 Tadreeb El-Modarrebeen St., Ameriya, Cairo - Egypt</w:t>
            </w:r>
          </w:p>
          <w:p w14:paraId="0037A891">
            <w:pPr>
              <w:rPr>
                <w:iCs/>
              </w:rPr>
            </w:pPr>
            <w:r>
              <w:rPr>
                <w:iCs/>
              </w:rPr>
              <w:t xml:space="preserve">E-mail: </w:t>
            </w:r>
            <w:r>
              <w:fldChar w:fldCharType="begin"/>
            </w:r>
            <w:r>
              <w:instrText xml:space="preserve"> HYPERLINK "mailto:eos@eos.org.eg" </w:instrText>
            </w:r>
            <w:r>
              <w:fldChar w:fldCharType="separate"/>
            </w:r>
            <w:r>
              <w:rPr>
                <w:iCs/>
                <w:color w:val="0000FF"/>
                <w:u w:val="single"/>
              </w:rPr>
              <w:t>eos@eos.org.eg</w:t>
            </w:r>
            <w:r>
              <w:rPr>
                <w:iCs/>
                <w:color w:val="0000FF"/>
                <w:u w:val="single"/>
              </w:rPr>
              <w:fldChar w:fldCharType="end"/>
            </w:r>
            <w:r>
              <w:rPr>
                <w:iCs/>
              </w:rPr>
              <w:t xml:space="preserve"> / </w:t>
            </w:r>
            <w:r>
              <w:fldChar w:fldCharType="begin"/>
            </w:r>
            <w:r>
              <w:instrText xml:space="preserve"> HYPERLINK "mailto:eos.tbt@eos.org.eg" </w:instrText>
            </w:r>
            <w:r>
              <w:fldChar w:fldCharType="separate"/>
            </w:r>
            <w:r>
              <w:rPr>
                <w:iCs/>
                <w:color w:val="0000FF"/>
                <w:u w:val="single"/>
              </w:rPr>
              <w:t>eos.tbt@eos.org.eg</w:t>
            </w:r>
            <w:r>
              <w:rPr>
                <w:iCs/>
                <w:color w:val="0000FF"/>
                <w:u w:val="single"/>
              </w:rPr>
              <w:fldChar w:fldCharType="end"/>
            </w:r>
          </w:p>
          <w:p w14:paraId="724A673D">
            <w:pPr>
              <w:rPr>
                <w:iCs/>
              </w:rPr>
            </w:pPr>
            <w:r>
              <w:rPr>
                <w:iCs/>
              </w:rPr>
              <w:t xml:space="preserve">Website: </w:t>
            </w:r>
            <w:r>
              <w:fldChar w:fldCharType="begin"/>
            </w:r>
            <w:r>
              <w:instrText xml:space="preserve"> HYPERLINK "http://www.eos.org.eg" \t "_blank" </w:instrText>
            </w:r>
            <w:r>
              <w:fldChar w:fldCharType="separate"/>
            </w:r>
            <w:r>
              <w:rPr>
                <w:iCs/>
                <w:color w:val="0000FF"/>
                <w:u w:val="single"/>
              </w:rPr>
              <w:t>http://www.eos.org.eg</w:t>
            </w:r>
            <w:r>
              <w:rPr>
                <w:iCs/>
                <w:color w:val="0000FF"/>
                <w:u w:val="single"/>
              </w:rPr>
              <w:fldChar w:fldCharType="end"/>
            </w:r>
          </w:p>
          <w:p w14:paraId="2B678194">
            <w:pPr>
              <w:rPr>
                <w:iCs/>
              </w:rPr>
            </w:pPr>
            <w:r>
              <w:rPr>
                <w:iCs/>
              </w:rPr>
              <w:t>Tel.: (+202) 22845528</w:t>
            </w:r>
          </w:p>
          <w:p w14:paraId="0AC41916">
            <w:pPr>
              <w:keepNext/>
              <w:keepLines/>
              <w:spacing w:after="120"/>
              <w:rPr>
                <w:bCs/>
              </w:rPr>
            </w:pPr>
            <w:r>
              <w:rPr>
                <w:iCs/>
              </w:rPr>
              <w:t>Fax: (+202) 22845504</w:t>
            </w:r>
          </w:p>
        </w:tc>
      </w:tr>
    </w:tbl>
    <w:p w14:paraId="64D549E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Consolas">
    <w:panose1 w:val="020B0609020204030204"/>
    <w:charset w:val="00"/>
    <w:family w:val="modern"/>
    <w:pitch w:val="default"/>
    <w:sig w:usb0="E10002FF" w:usb1="4000FCFF" w:usb2="00000009" w:usb3="00000000" w:csb0="600001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D78C0">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951CB">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E8AF0">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DA3FF">
    <w:pPr>
      <w:pStyle w:val="58"/>
      <w:pBdr>
        <w:bottom w:val="single" w:color="auto" w:sz="4" w:space="1"/>
      </w:pBdr>
      <w:tabs>
        <w:tab w:val="clear" w:pos="4513"/>
        <w:tab w:val="clear" w:pos="9027"/>
      </w:tabs>
      <w:jc w:val="center"/>
    </w:pPr>
    <w:bookmarkStart w:id="9" w:name="spsSymbolHeader"/>
    <w:r>
      <w:t>G/TBT/N/EGY/545</w:t>
    </w:r>
    <w:bookmarkEnd w:id="9"/>
  </w:p>
  <w:p w14:paraId="02591C79">
    <w:pPr>
      <w:pStyle w:val="58"/>
      <w:pBdr>
        <w:bottom w:val="single" w:color="auto" w:sz="4" w:space="1"/>
      </w:pBdr>
      <w:tabs>
        <w:tab w:val="clear" w:pos="4513"/>
        <w:tab w:val="clear" w:pos="9027"/>
      </w:tabs>
      <w:jc w:val="center"/>
    </w:pPr>
  </w:p>
  <w:p w14:paraId="2FA5EF3A">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BD7506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36E08">
    <w:pPr>
      <w:pStyle w:val="58"/>
      <w:pBdr>
        <w:bottom w:val="single" w:color="auto" w:sz="4" w:space="1"/>
      </w:pBdr>
      <w:tabs>
        <w:tab w:val="clear" w:pos="4513"/>
        <w:tab w:val="clear" w:pos="9027"/>
      </w:tabs>
      <w:jc w:val="center"/>
    </w:pPr>
    <w:r>
      <w:t>tbtSymbol</w:t>
    </w:r>
  </w:p>
  <w:p w14:paraId="7C40F6D5">
    <w:pPr>
      <w:pStyle w:val="58"/>
      <w:pBdr>
        <w:bottom w:val="single" w:color="auto" w:sz="4" w:space="1"/>
      </w:pBdr>
      <w:tabs>
        <w:tab w:val="clear" w:pos="4513"/>
        <w:tab w:val="clear" w:pos="9027"/>
      </w:tabs>
      <w:jc w:val="center"/>
    </w:pPr>
  </w:p>
  <w:p w14:paraId="634A369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11E6BAC">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73537B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E40A47A">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0F2A1C7">
          <w:pPr>
            <w:jc w:val="right"/>
            <w:rPr>
              <w:b/>
              <w:color w:val="FF0000"/>
              <w:szCs w:val="16"/>
            </w:rPr>
          </w:pPr>
        </w:p>
      </w:tc>
    </w:tr>
    <w:bookmarkEnd w:id="0"/>
    <w:tr w14:paraId="1480B0CE">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FA855CE">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7F09B3F">
          <w:pPr>
            <w:jc w:val="right"/>
            <w:rPr>
              <w:b/>
              <w:szCs w:val="16"/>
            </w:rPr>
          </w:pPr>
        </w:p>
      </w:tc>
    </w:tr>
    <w:tr w14:paraId="18E80AB0">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80B9E69">
          <w:pPr>
            <w:jc w:val="left"/>
            <w:rPr>
              <w:lang w:eastAsia="en-GB"/>
            </w:rPr>
          </w:pPr>
        </w:p>
      </w:tc>
      <w:tc>
        <w:tcPr>
          <w:tcW w:w="5448" w:type="dxa"/>
          <w:gridSpan w:val="2"/>
          <w:shd w:val="clear" w:color="auto" w:fill="FFFFFF"/>
          <w:tcMar>
            <w:left w:w="108" w:type="dxa"/>
            <w:right w:w="108" w:type="dxa"/>
          </w:tcMar>
        </w:tcPr>
        <w:p w14:paraId="60C8F83C">
          <w:pPr>
            <w:jc w:val="right"/>
            <w:rPr>
              <w:rFonts w:hint="eastAsia" w:eastAsia="宋体"/>
              <w:b/>
              <w:szCs w:val="16"/>
              <w:lang w:eastAsia="zh-CN"/>
            </w:rPr>
          </w:pPr>
          <w:bookmarkStart w:id="1" w:name="bmkSymbols"/>
          <w:r>
            <w:rPr>
              <w:b/>
              <w:szCs w:val="16"/>
            </w:rPr>
            <w:t>G/TBT/N/EGY/54</w:t>
          </w:r>
          <w:bookmarkEnd w:id="1"/>
          <w:r>
            <w:rPr>
              <w:rFonts w:hint="eastAsia" w:eastAsia="宋体"/>
              <w:b/>
              <w:szCs w:val="16"/>
              <w:lang w:val="en-US" w:eastAsia="zh-CN"/>
            </w:rPr>
            <w:t>9</w:t>
          </w:r>
        </w:p>
      </w:tc>
    </w:tr>
    <w:tr w14:paraId="53E25AFB">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18EEC334"/>
      </w:tc>
      <w:tc>
        <w:tcPr>
          <w:tcW w:w="5448" w:type="dxa"/>
          <w:gridSpan w:val="2"/>
          <w:shd w:val="clear" w:color="auto" w:fill="FFFFFF"/>
          <w:tcMar>
            <w:left w:w="108" w:type="dxa"/>
            <w:right w:w="108" w:type="dxa"/>
          </w:tcMar>
          <w:vAlign w:val="center"/>
        </w:tcPr>
        <w:p w14:paraId="1AC35D63">
          <w:pPr>
            <w:jc w:val="right"/>
            <w:rPr>
              <w:szCs w:val="16"/>
            </w:rPr>
          </w:pPr>
          <w:bookmarkStart w:id="2" w:name="bmkDate"/>
          <w:bookmarkStart w:id="3" w:name="spsDateDistribution"/>
          <w:r>
            <w:rPr>
              <w:rFonts w:hint="eastAsia" w:eastAsia="宋体"/>
              <w:szCs w:val="16"/>
              <w:lang w:val="en-US" w:eastAsia="zh-CN"/>
            </w:rPr>
            <w:t>3</w:t>
          </w:r>
          <w:r>
            <w:rPr>
              <w:szCs w:val="16"/>
            </w:rPr>
            <w:t xml:space="preserve"> July 2025</w:t>
          </w:r>
          <w:bookmarkEnd w:id="2"/>
          <w:bookmarkEnd w:id="3"/>
        </w:p>
      </w:tc>
    </w:tr>
    <w:tr w14:paraId="011FD6E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DC93BFB">
          <w:pPr>
            <w:jc w:val="left"/>
            <w:rPr>
              <w:b/>
            </w:rPr>
          </w:pPr>
          <w:bookmarkStart w:id="4" w:name="bmkSerial"/>
          <w:r>
            <w:rPr>
              <w:b w:val="0"/>
              <w:color w:val="FF0000"/>
            </w:rPr>
            <w:t>(25-</w:t>
          </w:r>
          <w:r>
            <w:rPr>
              <w:rFonts w:hint="eastAsia" w:eastAsia="宋体"/>
              <w:b w:val="0"/>
              <w:color w:val="FF0000"/>
              <w:lang w:val="en-US" w:eastAsia="zh-CN"/>
            </w:rPr>
            <w:t>4291</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C0EDC22">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6FDB825A">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D84FC0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1C50EF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3249D1F">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C"/>
    <w:multiLevelType w:val="multilevel"/>
    <w:tmpl w:val="63D526BC"/>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501A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65DD5"/>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06D50"/>
    <w:rsid w:val="00612644"/>
    <w:rsid w:val="00623F9F"/>
    <w:rsid w:val="00643C1F"/>
    <w:rsid w:val="00655881"/>
    <w:rsid w:val="0066043C"/>
    <w:rsid w:val="006607BC"/>
    <w:rsid w:val="00672511"/>
    <w:rsid w:val="00672583"/>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231F"/>
    <w:rsid w:val="008935B1"/>
    <w:rsid w:val="00893E85"/>
    <w:rsid w:val="008953C4"/>
    <w:rsid w:val="008B223A"/>
    <w:rsid w:val="008B4A10"/>
    <w:rsid w:val="008B4FB8"/>
    <w:rsid w:val="008C1339"/>
    <w:rsid w:val="008D641C"/>
    <w:rsid w:val="008E372C"/>
    <w:rsid w:val="008E67DC"/>
    <w:rsid w:val="009239F7"/>
    <w:rsid w:val="00933ECA"/>
    <w:rsid w:val="00934ABC"/>
    <w:rsid w:val="00941BE9"/>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D285FF7"/>
    <w:rsid w:val="0F4D2E20"/>
    <w:rsid w:val="10FF07C3"/>
    <w:rsid w:val="24784D9F"/>
    <w:rsid w:val="2C8B7F33"/>
    <w:rsid w:val="56D46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A6A926EF-77D7-44BB-9629-BC8622EDC140}">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334</Words>
  <Characters>1996</Characters>
  <Lines>24</Lines>
  <Paragraphs>6</Paragraphs>
  <TotalTime>0</TotalTime>
  <ScaleCrop>false</ScaleCrop>
  <LinksUpToDate>false</LinksUpToDate>
  <CharactersWithSpaces>2293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2025-05-12T12:21:00Z</dcterms:created>
  <dc:creator>mark louie medidas</dc:creator>
  <dc:description>LDIMD - DTU</dc:description>
  <cp:lastModifiedBy>fanxiaoxuan</cp:lastModifiedBy>
  <dcterms:modified xsi:type="dcterms:W3CDTF">2025-07-04T02:48:14Z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2052-12.1.0.21541</vt:lpwstr>
  </property>
  <property fmtid="{D5CDD505-2E9C-101B-9397-08002B2CF9AE}" pid="7" name="ICV">
    <vt:lpwstr>06E12CCFB1914920A4FF84D89CAB0FBD_12</vt:lpwstr>
  </property>
</Properties>
</file>