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F401C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65DB5719">
      <w:pPr>
        <w:jc w:val="center"/>
      </w:pPr>
      <w:r>
        <w:t>Se da traslado de la notificación siguiente de conformidad con el artículo 10.6.</w:t>
      </w:r>
    </w:p>
    <w:p w14:paraId="2AA94DB3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03FD0D4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3C1689EB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47B5D7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REPÚBLICA DOMINICANA</w:t>
            </w:r>
          </w:p>
          <w:p w14:paraId="261B64F7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347A6CC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F43E4F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E070F6D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55B3D8D8">
            <w:r>
              <w:t>Instituto Nacional de Tránsito y Transporte Terrestre (INTRANT)</w:t>
            </w:r>
          </w:p>
          <w:p w14:paraId="6F92AD9C">
            <w:r>
              <w:t>Calle Pepillo Salcedo, Puerta Este del Estadio Quisqueya,</w:t>
            </w:r>
          </w:p>
          <w:p w14:paraId="71A8F38F">
            <w:pPr>
              <w:spacing w:after="120"/>
              <w:rPr>
                <w:b/>
              </w:rPr>
            </w:pPr>
            <w:r>
              <w:t>Ensanche La Fe, Distrito Nacional, Rep. Dom.</w:t>
            </w:r>
          </w:p>
          <w:p w14:paraId="79650B96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685B331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7AD09A7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4583E4F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7698B2F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DC3E3C2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F053A42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VEHÍCULOS AUTOMÓVILES, TRACTORES, VELOCÍPEDOS Y DEMÁS VEHÍCULOS TERRESTRES, SUS PARTES Y ACCESORIOS (Código(s) del SA: 87); Equipo de protección de la cabeza (Código(s) de la ICS: 13.340.20)</w:t>
            </w:r>
          </w:p>
        </w:tc>
      </w:tr>
      <w:tr w14:paraId="2905D47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B16A863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F46C525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NORMATIVA TÉCNICA SOBRE EL ESTÁNDAR HOMOLOGADO DE LOS CASCOS DE PROTECCIÓN PERSONAL DE CONDUCTORES Y PASAJEROS DE MOTOCICLETAS Y VEHÍCULOS SIN CABINA DE TRES Y CUATRO RUEDAS.; (9 página(s), en español)</w:t>
            </w:r>
          </w:p>
        </w:tc>
      </w:tr>
      <w:tr w14:paraId="7DCFF4F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FB59427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35C0F9F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</w:t>
            </w:r>
          </w:p>
          <w:p w14:paraId="0324AD4B">
            <w:pPr>
              <w:spacing w:before="120" w:after="120"/>
            </w:pPr>
            <w:r>
              <w:t>Definiciones</w:t>
            </w:r>
          </w:p>
          <w:p w14:paraId="3118CC7F">
            <w:pPr>
              <w:spacing w:before="120" w:after="120"/>
            </w:pPr>
            <w:r>
              <w:t>Especificaciones generales del casco protector</w:t>
            </w:r>
          </w:p>
          <w:p w14:paraId="1F69EB19">
            <w:pPr>
              <w:spacing w:before="120" w:after="120"/>
            </w:pPr>
            <w:r>
              <w:t>Modalidades de casco protector aceptados</w:t>
            </w:r>
          </w:p>
          <w:p w14:paraId="3D6CE916">
            <w:pPr>
              <w:spacing w:before="120" w:after="120"/>
            </w:pPr>
            <w:r>
              <w:t>Normas generales de uso del casco protector</w:t>
            </w:r>
          </w:p>
          <w:p w14:paraId="1636C404">
            <w:pPr>
              <w:spacing w:before="120" w:after="120"/>
            </w:pPr>
            <w:r>
              <w:t>Campaña de seguridad vial</w:t>
            </w:r>
          </w:p>
          <w:p w14:paraId="4E0A8AD2">
            <w:pPr>
              <w:spacing w:before="120" w:after="120"/>
            </w:pPr>
            <w:r>
              <w:t>Sanciones</w:t>
            </w:r>
          </w:p>
          <w:p w14:paraId="4C881365">
            <w:pPr>
              <w:spacing w:before="120" w:after="120"/>
            </w:pPr>
            <w:r>
              <w:t>Adaptaciones</w:t>
            </w:r>
          </w:p>
        </w:tc>
      </w:tr>
      <w:tr w14:paraId="7C25D898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DF690E3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7211B6B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Imperativos de seguridad nacional; Prevención de prácticas que puedan inducir a error y protección del consumidor; Protección de la salud o seguridad humanas; Reducción de obstáculos al comercio y facilitación del comercio</w:t>
            </w:r>
          </w:p>
        </w:tc>
      </w:tr>
      <w:tr w14:paraId="25B5A8A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2F341AB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92B201A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667B5D42">
            <w:pPr>
              <w:spacing w:before="120" w:after="120"/>
            </w:pPr>
            <w:r>
              <w:t>Ley Núm. 63-17, de Movilidad, Transporte Terrestre, Tránsito y Seguridad Vial.</w:t>
            </w:r>
          </w:p>
        </w:tc>
      </w:tr>
      <w:tr w14:paraId="0161B91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515172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25AA8D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210CC156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6</w:t>
            </w:r>
            <w:r>
              <w:t xml:space="preserve"> meses después de su adopción</w:t>
            </w:r>
          </w:p>
        </w:tc>
      </w:tr>
      <w:tr w14:paraId="5F9C184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076235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F4F4879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29 de agosto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4F786799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[X] 60 días a partir de la fecha de notificación</w:t>
            </w:r>
          </w:p>
        </w:tc>
      </w:tr>
      <w:tr w14:paraId="46ED52B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025CDE99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FD455E5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73B982FC">
            <w:pPr>
              <w:rPr>
                <w:bCs/>
              </w:rPr>
            </w:pPr>
            <w:r>
              <w:rPr>
                <w:bCs/>
              </w:rPr>
              <w:t>Servicio Nacional de Información sobre OTC</w:t>
            </w:r>
          </w:p>
          <w:p w14:paraId="2EE2F5F5">
            <w:pPr>
              <w:rPr>
                <w:bCs/>
              </w:rPr>
            </w:pPr>
            <w:r>
              <w:rPr>
                <w:bCs/>
              </w:rPr>
              <w:t>Viceministerio de Comercio Exterior (VICOMEX)</w:t>
            </w:r>
          </w:p>
          <w:p w14:paraId="54028DF2">
            <w:pPr>
              <w:rPr>
                <w:bCs/>
              </w:rPr>
            </w:pPr>
            <w:r>
              <w:rPr>
                <w:bCs/>
              </w:rPr>
              <w:t>Ministerio de Industria, Comercio y Mipymes (MICM)</w:t>
            </w:r>
          </w:p>
          <w:p w14:paraId="010C63DF">
            <w:pPr>
              <w:rPr>
                <w:bCs/>
              </w:rPr>
            </w:pPr>
            <w:r>
              <w:rPr>
                <w:bCs/>
              </w:rPr>
              <w:t>Avenida 27 de Febrero No. 306</w:t>
            </w:r>
          </w:p>
          <w:p w14:paraId="53600527">
            <w:pPr>
              <w:rPr>
                <w:bCs/>
              </w:rPr>
            </w:pPr>
            <w:r>
              <w:rPr>
                <w:bCs/>
              </w:rPr>
              <w:t>Torre MICM</w:t>
            </w:r>
          </w:p>
          <w:p w14:paraId="25B28A47">
            <w:pPr>
              <w:rPr>
                <w:bCs/>
              </w:rPr>
            </w:pPr>
            <w:r>
              <w:rPr>
                <w:bCs/>
              </w:rPr>
              <w:t>Bella Vista</w:t>
            </w:r>
          </w:p>
          <w:p w14:paraId="4D6F9451">
            <w:pPr>
              <w:rPr>
                <w:bCs/>
              </w:rPr>
            </w:pPr>
            <w:r>
              <w:rPr>
                <w:bCs/>
              </w:rPr>
              <w:t>Santo Domingo, R.D 10121</w:t>
            </w:r>
          </w:p>
          <w:p w14:paraId="4C99CF0D">
            <w:pPr>
              <w:rPr>
                <w:bCs/>
              </w:rPr>
            </w:pPr>
            <w:r>
              <w:rPr>
                <w:bCs/>
              </w:rPr>
              <w:t>Tel: + (809)-685-5171</w:t>
            </w:r>
          </w:p>
          <w:p w14:paraId="43A90794">
            <w:pPr>
              <w:rPr>
                <w:bCs/>
              </w:rPr>
            </w:pPr>
            <w:r>
              <w:rPr>
                <w:bCs/>
              </w:rPr>
              <w:t>Marienna Hyar</w:t>
            </w:r>
          </w:p>
          <w:p w14:paraId="46949B25">
            <w:pPr>
              <w:rPr>
                <w:bCs/>
              </w:rPr>
            </w:pPr>
            <w:r>
              <w:fldChar w:fldCharType="begin"/>
            </w:r>
            <w:r>
              <w:instrText xml:space="preserve"> HYPERLINK "mailto:Marienna.hyar@micm.gob.do"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Marienna.hyar@micm.gob.do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E10C73D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"mailto:rdotc@micm.gob.do"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rdotc@micm.gob.do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5B33944F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"https://micm.gob.do"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https://micm.gob.do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10FDE814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  <w:lang w:val="en-GB"/>
              </w:rPr>
            </w:pPr>
            <w:bookmarkStart w:id="10" w:name="_GoBack"/>
            <w:bookmarkEnd w:id="10"/>
          </w:p>
          <w:p w14:paraId="2506F797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"https://members.wto.org/crnattachments/2025/TBT/DOM/25_04215_00_s.pdf"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https://members.wto.org/crnattachments/2025/TBT/DOM/25_04215_00_s.pdf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75533AD">
            <w:pPr>
              <w:rPr>
                <w:bCs/>
              </w:rPr>
            </w:pPr>
            <w:r>
              <w:rPr>
                <w:bCs/>
              </w:rPr>
              <w:t>Responsable: Naram Jiménez Logroño</w:t>
            </w:r>
          </w:p>
          <w:p w14:paraId="3AAC22D4">
            <w:pPr>
              <w:rPr>
                <w:bCs/>
              </w:rPr>
            </w:pPr>
            <w:r>
              <w:rPr>
                <w:bCs/>
              </w:rPr>
              <w:t>Encargado de Reglamentos y Normas</w:t>
            </w:r>
          </w:p>
          <w:p w14:paraId="78C0F495">
            <w:pPr>
              <w:rPr>
                <w:bCs/>
              </w:rPr>
            </w:pPr>
            <w:r>
              <w:rPr>
                <w:bCs/>
              </w:rPr>
              <w:t>Dirección Jurídica</w:t>
            </w:r>
          </w:p>
          <w:p w14:paraId="1D73E29B">
            <w:pPr>
              <w:rPr>
                <w:bCs/>
              </w:rPr>
            </w:pPr>
            <w:r>
              <w:rPr>
                <w:bCs/>
              </w:rPr>
              <w:t>Ofic.: 809-338-6134 Ext. 3312</w:t>
            </w:r>
          </w:p>
          <w:p w14:paraId="06CAA13B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lang w:val="en-GB"/>
              </w:rPr>
            </w:pPr>
            <w:r>
              <w:rPr>
                <w:bCs/>
              </w:rPr>
              <w:t>INTRANT</w:t>
            </w:r>
          </w:p>
        </w:tc>
      </w:tr>
    </w:tbl>
    <w:p w14:paraId="198B1A36">
      <w:pPr>
        <w:rPr>
          <w:lang w:val="en-GB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8668D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D77D54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39260E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4F105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G/TBT/N/DOM/244</w:t>
    </w:r>
    <w:bookmarkEnd w:id="0"/>
  </w:p>
  <w:p w14:paraId="1132FB62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6BE288E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6CAC2AB6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93A71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5AF3DF7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58D0869C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52C8F938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10AFB678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C2C3CD">
          <w:pPr>
            <w:rPr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DE42A6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0B155E9D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3FF7DD1B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22EA218A">
          <w:pPr>
            <w:jc w:val="right"/>
            <w:rPr>
              <w:b/>
              <w:szCs w:val="18"/>
            </w:rPr>
          </w:pPr>
        </w:p>
      </w:tc>
    </w:tr>
    <w:tr w14:paraId="0A15F4A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4DDB585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2D9015B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2" w:name="bmkSymbols"/>
          <w:r>
            <w:rPr>
              <w:b/>
              <w:szCs w:val="18"/>
            </w:rPr>
            <w:t>G/TBT/N/DOM/24</w:t>
          </w:r>
          <w:bookmarkEnd w:id="2"/>
          <w:r>
            <w:rPr>
              <w:rFonts w:hint="eastAsia" w:eastAsia="宋体"/>
              <w:b/>
              <w:szCs w:val="18"/>
              <w:lang w:val="en-US" w:eastAsia="zh-CN"/>
            </w:rPr>
            <w:t>5</w:t>
          </w:r>
        </w:p>
      </w:tc>
    </w:tr>
    <w:tr w14:paraId="14D4057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07575010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A71B6D">
          <w:pPr>
            <w:jc w:val="right"/>
            <w:rPr>
              <w:szCs w:val="18"/>
            </w:rPr>
          </w:pPr>
          <w:bookmarkStart w:id="3" w:name="bmkDate"/>
          <w:bookmarkStart w:id="4" w:name="spsDateDistribution"/>
          <w:r>
            <w:rPr>
              <w:szCs w:val="18"/>
            </w:rPr>
            <w:t>30 de junio de 2025</w:t>
          </w:r>
          <w:bookmarkEnd w:id="3"/>
          <w:bookmarkEnd w:id="4"/>
        </w:p>
      </w:tc>
    </w:tr>
    <w:tr w14:paraId="096E26D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E31434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4216</w:t>
          </w:r>
          <w:r>
            <w:rPr>
              <w:b w:val="0"/>
              <w:color w:val="FF0000"/>
            </w:rPr>
            <w:t>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8AE489">
          <w:pPr>
            <w:jc w:val="right"/>
            <w:rPr>
              <w:szCs w:val="18"/>
            </w:rPr>
          </w:pPr>
          <w:bookmarkStart w:id="6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bCs/>
              <w:szCs w:val="18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bCs/>
              <w:szCs w:val="18"/>
            </w:rPr>
            <w:t>1</w:t>
          </w:r>
          <w:r>
            <w:rPr>
              <w:szCs w:val="18"/>
            </w:rPr>
            <w:fldChar w:fldCharType="end"/>
          </w:r>
          <w:bookmarkEnd w:id="6"/>
        </w:p>
      </w:tc>
    </w:tr>
    <w:tr w14:paraId="15106FB4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D52CD2">
          <w:pPr>
            <w:jc w:val="left"/>
            <w:rPr>
              <w:szCs w:val="18"/>
            </w:rPr>
          </w:pPr>
          <w:bookmarkStart w:id="7" w:name="bmkCommittee"/>
          <w:r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2553E6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</w:t>
          </w:r>
          <w:bookmarkStart w:id="9" w:name="spsOriginalLanguage"/>
          <w:r>
            <w:rPr>
              <w:bCs/>
              <w:szCs w:val="18"/>
            </w:rPr>
            <w:t>español</w:t>
          </w:r>
          <w:bookmarkEnd w:id="8"/>
          <w:bookmarkEnd w:id="9"/>
        </w:p>
      </w:tc>
    </w:tr>
  </w:tbl>
  <w:p w14:paraId="329A1B5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2604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0FC9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917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57708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77764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C6FF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913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eyJucyI6Imh0dHA6XC9cL3d3dy50aXR1cy5jb21cL25zXC9Xb3JsZCBUcmFkZSBPcmdhbml6YXRpb24iLCJwcm9wcyI6W3sibiI6IldUT0NMQVNTSUZJQ0FUSU9OIiwidmFscyI6W3sidmFsdWUiOiJQVUJMSUMifV19XX0=</TitusMetadata>
</titus>
</file>

<file path=customXml/itemProps1.xml><?xml version="1.0" encoding="utf-8"?>
<ds:datastoreItem xmlns:ds="http://schemas.openxmlformats.org/officeDocument/2006/customXml" ds:itemID="{3F34E151-41DF-48C9-800A-7E3D7C438F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465</Words>
  <Characters>2779</Characters>
  <Lines>79</Lines>
  <Paragraphs>58</Paragraphs>
  <TotalTime>0</TotalTime>
  <ScaleCrop>false</ScaleCrop>
  <LinksUpToDate>false</LinksUpToDate>
  <CharactersWithSpaces>3192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2025-02-18T16:21:00Z</dcterms:created>
  <dc:description>LDIMD - DTU</dc:description>
  <dcterms:modified xsi:type="dcterms:W3CDTF">2025-07-03T14:27:23Z</dcterms:modified>
  <dc:title>NOTIFICACIÓN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PUBLIC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2052-12.1.0.21541</vt:lpwstr>
  </property>
  <property fmtid="{D5CDD505-2E9C-101B-9397-08002B2CF9AE}" pid="7" name="ICV">
    <vt:lpwstr>C2E15C2A9E8246ADA2478C0223DCCF78_12</vt:lpwstr>
  </property>
</Properties>
</file>