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47770">
      <w:pPr>
        <w:pStyle w:val="84"/>
        <w:rPr>
          <w:caps w:val="0"/>
          <w:kern w:val="0"/>
        </w:rPr>
      </w:pPr>
      <w:r>
        <w:rPr>
          <w:caps w:val="0"/>
          <w:kern w:val="0"/>
        </w:rPr>
        <w:t>NOTIFICATION</w:t>
      </w:r>
    </w:p>
    <w:p w14:paraId="5F86DFEC">
      <w:pPr>
        <w:jc w:val="center"/>
      </w:pPr>
      <w:r>
        <w:t>The following notification is being circulated in accordance with Article 10.6</w:t>
      </w:r>
    </w:p>
    <w:p w14:paraId="5449519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D708BF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BCB6360">
            <w:pPr>
              <w:spacing w:before="120" w:after="120"/>
              <w:jc w:val="left"/>
            </w:pPr>
            <w:r>
              <w:rPr>
                <w:b/>
              </w:rPr>
              <w:t>1.</w:t>
            </w:r>
          </w:p>
        </w:tc>
        <w:tc>
          <w:tcPr>
            <w:tcW w:w="8546" w:type="dxa"/>
            <w:tcBorders>
              <w:bottom w:val="single" w:color="auto" w:sz="6" w:space="0"/>
            </w:tcBorders>
            <w:shd w:val="clear" w:color="auto" w:fill="auto"/>
          </w:tcPr>
          <w:p w14:paraId="64B00DB9">
            <w:pPr>
              <w:spacing w:before="120" w:after="120"/>
            </w:pPr>
            <w:r>
              <w:rPr>
                <w:b/>
              </w:rPr>
              <w:t>Notifying Member:</w:t>
            </w:r>
            <w:r>
              <w:t xml:space="preserve"> </w:t>
            </w:r>
            <w:r>
              <w:rPr>
                <w:u w:val="single"/>
              </w:rPr>
              <w:t>BURUNDI, KENYA, RWANDA, TANZANIA, UGANDA</w:t>
            </w:r>
          </w:p>
          <w:p w14:paraId="510B66B8">
            <w:pPr>
              <w:spacing w:after="120"/>
            </w:pPr>
            <w:r>
              <w:rPr>
                <w:b/>
              </w:rPr>
              <w:t>If applicable, name of local government involved (Article 3.2 and 7.2):</w:t>
            </w:r>
            <w:r>
              <w:t xml:space="preserve"> </w:t>
            </w:r>
          </w:p>
        </w:tc>
      </w:tr>
      <w:tr w14:paraId="7B8201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1B75F60">
            <w:pPr>
              <w:spacing w:before="120" w:after="120"/>
              <w:jc w:val="left"/>
            </w:pPr>
            <w:r>
              <w:rPr>
                <w:b/>
              </w:rPr>
              <w:t>2.</w:t>
            </w:r>
          </w:p>
        </w:tc>
        <w:tc>
          <w:tcPr>
            <w:tcW w:w="8546" w:type="dxa"/>
            <w:tcBorders>
              <w:top w:val="single" w:color="auto" w:sz="6" w:space="0"/>
              <w:bottom w:val="single" w:color="auto" w:sz="6" w:space="0"/>
            </w:tcBorders>
            <w:shd w:val="clear" w:color="auto" w:fill="auto"/>
          </w:tcPr>
          <w:p w14:paraId="12D2A006">
            <w:pPr>
              <w:spacing w:before="120" w:after="120"/>
            </w:pPr>
            <w:r>
              <w:rPr>
                <w:b/>
              </w:rPr>
              <w:t>Agency responsible:</w:t>
            </w:r>
            <w:r>
              <w:t xml:space="preserve"> </w:t>
            </w:r>
          </w:p>
          <w:p w14:paraId="7C0A2D58">
            <w:r>
              <w:t>Tanzania Bureau of Standards (TBS)</w:t>
            </w:r>
          </w:p>
          <w:p w14:paraId="5EDEAEC2">
            <w:pPr>
              <w:numPr>
                <w:ilvl w:val="0"/>
                <w:numId w:val="0"/>
              </w:numPr>
              <w:spacing w:after="120"/>
            </w:pPr>
            <w:r>
              <w:t xml:space="preserve">MOROGORO/Sam Nujoma Road, Ubungo P O BOX 9524, Dar es Salaam, Tanzania </w:t>
            </w:r>
          </w:p>
          <w:p w14:paraId="7F9560B4">
            <w:pPr>
              <w:numPr>
                <w:ilvl w:val="0"/>
                <w:numId w:val="0"/>
              </w:numPr>
              <w:spacing w:after="120"/>
            </w:pPr>
            <w:r>
              <w:t xml:space="preserve">Tel: +255 222450206, </w:t>
            </w:r>
          </w:p>
          <w:p w14:paraId="796F0909">
            <w:pPr>
              <w:numPr>
                <w:ilvl w:val="0"/>
                <w:numId w:val="0"/>
              </w:numPr>
              <w:spacing w:after="120"/>
            </w:pPr>
            <w:r>
              <w:t xml:space="preserve">E- mail: </w:t>
            </w:r>
            <w:r>
              <w:fldChar w:fldCharType="begin"/>
            </w:r>
            <w:r>
              <w:instrText xml:space="preserve"> HYPERLINK "mailto:nep@tbs.go.tz" </w:instrText>
            </w:r>
            <w:r>
              <w:fldChar w:fldCharType="separate"/>
            </w:r>
            <w:r>
              <w:rPr>
                <w:color w:val="0000FF"/>
                <w:u w:val="single"/>
              </w:rPr>
              <w:t>nep@tbs.go.tz</w:t>
            </w:r>
            <w:r>
              <w:rPr>
                <w:color w:val="0000FF"/>
                <w:u w:val="single"/>
              </w:rPr>
              <w:fldChar w:fldCharType="end"/>
            </w:r>
            <w:r>
              <w:t xml:space="preserve"> </w:t>
            </w:r>
          </w:p>
          <w:p w14:paraId="3E09ED40">
            <w:pPr>
              <w:numPr>
                <w:ilvl w:val="0"/>
                <w:numId w:val="0"/>
              </w:numPr>
              <w:spacing w:after="120"/>
            </w:pPr>
            <w:r>
              <w:t xml:space="preserve">Website: </w:t>
            </w:r>
            <w:r>
              <w:fldChar w:fldCharType="begin"/>
            </w:r>
            <w:r>
              <w:instrText xml:space="preserve"> HYPERLINK "http://www.tbs.go.tz" </w:instrText>
            </w:r>
            <w:r>
              <w:fldChar w:fldCharType="separate"/>
            </w:r>
            <w:r>
              <w:rPr>
                <w:rStyle w:val="242"/>
              </w:rPr>
              <w:t>www.tbs.go.tz</w:t>
            </w:r>
            <w:r>
              <w:fldChar w:fldCharType="end"/>
            </w:r>
          </w:p>
          <w:p w14:paraId="75529098">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44F71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6DEE1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554AB86">
            <w:pPr>
              <w:spacing w:before="120" w:after="120"/>
            </w:pPr>
            <w:r>
              <w:rPr>
                <w:b/>
              </w:rPr>
              <w:t>Notified under Article 2.9.2 [X], 2.10.1 [ ], 5.6.2 [ ], 5.7.1 [ ], 3.2 [ ], 7.2 [ ], other:</w:t>
            </w:r>
            <w:r>
              <w:t xml:space="preserve"> </w:t>
            </w:r>
          </w:p>
        </w:tc>
      </w:tr>
      <w:tr w14:paraId="7C93BA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C8FFA8">
            <w:pPr>
              <w:spacing w:before="120" w:after="120"/>
              <w:jc w:val="left"/>
            </w:pPr>
            <w:r>
              <w:rPr>
                <w:b/>
              </w:rPr>
              <w:t>4.</w:t>
            </w:r>
          </w:p>
        </w:tc>
        <w:tc>
          <w:tcPr>
            <w:tcW w:w="8546" w:type="dxa"/>
            <w:tcBorders>
              <w:top w:val="single" w:color="auto" w:sz="6" w:space="0"/>
              <w:bottom w:val="single" w:color="auto" w:sz="6" w:space="0"/>
            </w:tcBorders>
            <w:shd w:val="clear" w:color="auto" w:fill="auto"/>
          </w:tcPr>
          <w:p w14:paraId="0604ADFF">
            <w:pPr>
              <w:spacing w:before="120" w:after="120"/>
            </w:pPr>
            <w:r>
              <w:rPr>
                <w:b/>
              </w:rPr>
              <w:t>Products covered (HS or CCCN where applicable, otherwise national tariff heading. ICS numbers may be provided in addition, where applicable):</w:t>
            </w:r>
            <w:r>
              <w:t xml:space="preserve"> Organic surface-active agents (excl. soap); surface-active preparations, washing preparations, incl. auxiliary washing preparations, and cleaning preparations, whether or not containing soap (excl. those of heading 3401) (HS code(s): 3402); Surface active agents (ICS code(s): 71.100.40)</w:t>
            </w:r>
          </w:p>
        </w:tc>
      </w:tr>
      <w:tr w14:paraId="6A69FC0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694FF3">
            <w:pPr>
              <w:spacing w:before="120" w:after="120"/>
              <w:jc w:val="left"/>
            </w:pPr>
            <w:r>
              <w:rPr>
                <w:b/>
              </w:rPr>
              <w:t>5.</w:t>
            </w:r>
          </w:p>
        </w:tc>
        <w:tc>
          <w:tcPr>
            <w:tcW w:w="8546" w:type="dxa"/>
            <w:tcBorders>
              <w:top w:val="single" w:color="auto" w:sz="6" w:space="0"/>
              <w:bottom w:val="single" w:color="auto" w:sz="6" w:space="0"/>
            </w:tcBorders>
            <w:shd w:val="clear" w:color="auto" w:fill="auto"/>
          </w:tcPr>
          <w:p w14:paraId="78E90485">
            <w:pPr>
              <w:spacing w:before="120" w:after="120"/>
            </w:pPr>
            <w:r>
              <w:rPr>
                <w:b/>
              </w:rPr>
              <w:t>Title, number of pages and language(s) of the notified document:</w:t>
            </w:r>
            <w:r>
              <w:t xml:space="preserve"> DEAS 383: 2025, Liquid detergent for household use — Specification, Fourth Edition; (18 page(s), in English)</w:t>
            </w:r>
          </w:p>
        </w:tc>
      </w:tr>
      <w:tr w14:paraId="72527C9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F75C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698FCF3">
            <w:pPr>
              <w:spacing w:before="120" w:after="120"/>
            </w:pPr>
            <w:r>
              <w:rPr>
                <w:b/>
              </w:rPr>
              <w:t>Description of content:</w:t>
            </w:r>
            <w:r>
              <w:t xml:space="preserve"> This Draft East African Standard specifies the requirements, sampling and test methods for liquid detergent for household use.</w:t>
            </w:r>
          </w:p>
        </w:tc>
      </w:tr>
      <w:tr w14:paraId="7CCF32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822DAE">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A1F460C">
            <w:pPr>
              <w:spacing w:before="120" w:after="120"/>
              <w:rPr>
                <w:b/>
              </w:rPr>
            </w:pPr>
            <w:r>
              <w:rPr>
                <w:b/>
              </w:rPr>
              <w:t>Objective and rationale, including the nature of urgent problems where applicable:</w:t>
            </w:r>
            <w:r>
              <w:t xml:space="preserve"> Consumer information, labelling; Quality requirements; Harmonization; Reducing trade barriers and facilitating trade</w:t>
            </w:r>
          </w:p>
        </w:tc>
      </w:tr>
      <w:tr w14:paraId="2C4761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D261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03AC1ED">
            <w:pPr>
              <w:spacing w:before="120" w:after="120"/>
              <w:rPr>
                <w:bCs/>
              </w:rPr>
            </w:pPr>
            <w:r>
              <w:rPr>
                <w:b/>
              </w:rPr>
              <w:t>Relevant documents:</w:t>
            </w:r>
            <w:r>
              <w:t xml:space="preserve"> </w:t>
            </w:r>
          </w:p>
          <w:p w14:paraId="160928CD">
            <w:pPr>
              <w:numPr>
                <w:ilvl w:val="0"/>
                <w:numId w:val="7"/>
              </w:numPr>
              <w:spacing w:before="120" w:after="120"/>
            </w:pPr>
            <w:r>
              <w:t>EAS 377 (all parts), Cosmetics and cosmetic products</w:t>
            </w:r>
          </w:p>
          <w:p w14:paraId="786EF30C">
            <w:pPr>
              <w:numPr>
                <w:ilvl w:val="0"/>
                <w:numId w:val="7"/>
              </w:numPr>
              <w:spacing w:before="120" w:after="120"/>
            </w:pPr>
            <w:r>
              <w:t>ISO 2271, Surface-active agents — Determination of anionic active matter by manual or mechanical direct two - phase titration procedure.</w:t>
            </w:r>
          </w:p>
          <w:p w14:paraId="536F0480">
            <w:pPr>
              <w:numPr>
                <w:ilvl w:val="0"/>
                <w:numId w:val="7"/>
              </w:numPr>
              <w:spacing w:before="120" w:after="120"/>
            </w:pPr>
            <w:r>
              <w:t>EAS 814, Determination of biodegradability of surfactants — Test method</w:t>
            </w:r>
          </w:p>
          <w:p w14:paraId="650C8720">
            <w:pPr>
              <w:numPr>
                <w:ilvl w:val="0"/>
                <w:numId w:val="7"/>
              </w:numPr>
              <w:spacing w:before="120" w:after="120"/>
            </w:pPr>
            <w:r>
              <w:t>ISO 862, Surface active agents — Vocabulary</w:t>
            </w:r>
          </w:p>
          <w:p w14:paraId="2CA8D4A8">
            <w:pPr>
              <w:numPr>
                <w:ilvl w:val="0"/>
                <w:numId w:val="7"/>
              </w:numPr>
              <w:spacing w:before="120" w:after="120"/>
            </w:pPr>
            <w:r>
              <w:t>ISO 2870, Surface active agents — Detergents — Determination of anionic-active matter, hydrolysable and non-hydrolysable under acid conditions</w:t>
            </w:r>
          </w:p>
          <w:p w14:paraId="63F2F870">
            <w:pPr>
              <w:numPr>
                <w:ilvl w:val="0"/>
                <w:numId w:val="7"/>
              </w:numPr>
              <w:spacing w:before="120" w:after="120"/>
            </w:pPr>
            <w:r>
              <w:t>ISO 2871-1, Surface active agents — Detergents — Determination of cationic-active matter content — Part 1: High-molecular- mass cationic-active matter</w:t>
            </w:r>
          </w:p>
          <w:p w14:paraId="7B31BE7F">
            <w:pPr>
              <w:numPr>
                <w:ilvl w:val="0"/>
                <w:numId w:val="7"/>
              </w:numPr>
              <w:spacing w:before="120" w:after="120"/>
            </w:pPr>
            <w:r>
              <w:t>ISO 2871-2, Surface active agents — Detergents — Determination of cationic-active matter content — Part 2: Cationic-active matter of low molecular mass (between 200 and 500)</w:t>
            </w:r>
          </w:p>
          <w:p w14:paraId="1E9780BD">
            <w:pPr>
              <w:numPr>
                <w:ilvl w:val="0"/>
                <w:numId w:val="7"/>
              </w:numPr>
              <w:spacing w:before="120" w:after="120"/>
            </w:pPr>
            <w:r>
              <w:t>EAS 794, Determination of the microbial inhibition of cosmetic soap bars and liquid hand and body washes — Test method</w:t>
            </w:r>
          </w:p>
          <w:p w14:paraId="7C0F4ABA">
            <w:pPr>
              <w:numPr>
                <w:ilvl w:val="0"/>
                <w:numId w:val="7"/>
              </w:numPr>
              <w:spacing w:before="120" w:after="120"/>
            </w:pPr>
            <w:bookmarkStart w:id="10" w:name="_GoBack"/>
            <w:bookmarkEnd w:id="10"/>
            <w:r>
              <w:t>EAS 383: 2021, Liquid detergent for household use — Specification</w:t>
            </w:r>
          </w:p>
        </w:tc>
      </w:tr>
      <w:tr w14:paraId="13FBA3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96F4A2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D7BE546">
            <w:pPr>
              <w:spacing w:before="120" w:after="120"/>
            </w:pPr>
            <w:r>
              <w:rPr>
                <w:b/>
              </w:rPr>
              <w:t>Proposed date of adoption:</w:t>
            </w:r>
            <w:r>
              <w:t xml:space="preserve"> To be determined and notified</w:t>
            </w:r>
          </w:p>
          <w:p w14:paraId="25178FFD">
            <w:pPr>
              <w:spacing w:after="120"/>
            </w:pPr>
            <w:r>
              <w:rPr>
                <w:b/>
              </w:rPr>
              <w:t>Proposed date of entry into force:</w:t>
            </w:r>
            <w:r>
              <w:t xml:space="preserve"> To be determined</w:t>
            </w:r>
          </w:p>
        </w:tc>
      </w:tr>
      <w:tr w14:paraId="2E34F9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916CA">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2AC11D5">
            <w:pPr>
              <w:spacing w:before="120" w:after="120"/>
              <w:rPr>
                <w:rFonts w:hint="eastAsia" w:eastAsia="宋体"/>
                <w:lang w:eastAsia="zh-CN"/>
              </w:rPr>
            </w:pPr>
            <w:r>
              <w:rPr>
                <w:b/>
              </w:rPr>
              <w:t>Final date for comments:</w:t>
            </w:r>
            <w:r>
              <w:t xml:space="preserve"> 30 August 2025</w:t>
            </w:r>
            <w:r>
              <w:rPr>
                <w:rFonts w:hint="eastAsia" w:eastAsia="宋体"/>
                <w:lang w:eastAsia="zh-CN"/>
              </w:rPr>
              <w:t>，</w:t>
            </w:r>
          </w:p>
          <w:p w14:paraId="6E1ED81B">
            <w:pPr>
              <w:spacing w:before="120" w:after="120"/>
              <w:rPr>
                <w:rFonts w:hint="eastAsia" w:eastAsia="宋体"/>
                <w:lang w:eastAsia="zh-CN"/>
              </w:rPr>
            </w:pPr>
            <w:r>
              <w:rPr>
                <w:b/>
                <w:bCs/>
              </w:rPr>
              <w:t>[X] 60 days from notification</w:t>
            </w:r>
          </w:p>
        </w:tc>
      </w:tr>
      <w:tr w14:paraId="6B44CE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142B43F">
            <w:pPr>
              <w:keepNext/>
              <w:keepLines/>
              <w:spacing w:before="120" w:after="120"/>
              <w:jc w:val="left"/>
              <w:rPr>
                <w:b/>
              </w:rPr>
            </w:pPr>
            <w:r>
              <w:rPr>
                <w:b/>
              </w:rPr>
              <w:t>11.</w:t>
            </w:r>
          </w:p>
        </w:tc>
        <w:tc>
          <w:tcPr>
            <w:tcW w:w="8546" w:type="dxa"/>
            <w:tcBorders>
              <w:top w:val="single" w:color="auto" w:sz="6" w:space="0"/>
            </w:tcBorders>
            <w:shd w:val="clear" w:color="auto" w:fill="auto"/>
          </w:tcPr>
          <w:p w14:paraId="3709B6E5">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0691788">
            <w:r>
              <w:t>Contact person(s):</w:t>
            </w:r>
          </w:p>
          <w:p w14:paraId="1AB88085">
            <w:r>
              <w:t>Ms. Bahati Samillani (NEP officer) and Mr. Clavery Chausi</w:t>
            </w:r>
          </w:p>
          <w:p w14:paraId="33272610">
            <w:r>
              <w:t>Tanzania Bureau of Standards (TBS)</w:t>
            </w:r>
          </w:p>
          <w:p w14:paraId="7FEC130B">
            <w:pPr>
              <w:rPr>
                <w:lang w:val="pt-BR"/>
              </w:rPr>
            </w:pPr>
            <w:r>
              <w:rPr>
                <w:lang w:val="pt-BR"/>
              </w:rPr>
              <w:t>Morogoro/Sam Nujoma Road, Ubungo</w:t>
            </w:r>
          </w:p>
          <w:p w14:paraId="1EA38808">
            <w:pPr>
              <w:rPr>
                <w:lang w:val="pt-BR"/>
              </w:rPr>
            </w:pPr>
            <w:r>
              <w:rPr>
                <w:lang w:val="pt-BR"/>
              </w:rPr>
              <w:t>P O Box 9524</w:t>
            </w:r>
          </w:p>
          <w:p w14:paraId="02A65847">
            <w:pPr>
              <w:rPr>
                <w:lang w:val="pt-BR"/>
              </w:rPr>
            </w:pPr>
            <w:r>
              <w:rPr>
                <w:lang w:val="pt-BR"/>
              </w:rPr>
              <w:t>Dar Es Salaam</w:t>
            </w:r>
          </w:p>
          <w:p w14:paraId="42954634">
            <w:pPr>
              <w:rPr>
                <w:lang w:val="pt-BR"/>
              </w:rPr>
            </w:pPr>
            <w:r>
              <w:rPr>
                <w:lang w:val="pt-BR"/>
              </w:rPr>
              <w:t>Tel: +(255) 22 2450206</w:t>
            </w:r>
          </w:p>
          <w:p w14:paraId="73B30B63">
            <w:pPr>
              <w:rPr>
                <w:lang w:val="pt-BR"/>
              </w:rPr>
            </w:pPr>
            <w:r>
              <w:rPr>
                <w:lang w:val="pt-BR"/>
              </w:rPr>
              <w:t xml:space="preserve">Email: </w:t>
            </w:r>
            <w:r>
              <w:fldChar w:fldCharType="begin"/>
            </w:r>
            <w:r>
              <w:instrText xml:space="preserve"> HYPERLINK "mailto:nep@tbs.go.tz" </w:instrText>
            </w:r>
            <w:r>
              <w:fldChar w:fldCharType="separate"/>
            </w:r>
            <w:r>
              <w:rPr>
                <w:color w:val="0000FF"/>
                <w:u w:val="single"/>
                <w:lang w:val="pt-BR"/>
              </w:rPr>
              <w:t>nep@tbs.go.tz</w:t>
            </w:r>
            <w:r>
              <w:rPr>
                <w:color w:val="0000FF"/>
                <w:u w:val="single"/>
                <w:lang w:val="pt-BR"/>
              </w:rPr>
              <w:fldChar w:fldCharType="end"/>
            </w:r>
            <w:r>
              <w:rPr>
                <w:lang w:val="pt-BR"/>
              </w:rPr>
              <w:t xml:space="preserve">; </w:t>
            </w:r>
            <w:r>
              <w:fldChar w:fldCharType="begin"/>
            </w:r>
            <w:r>
              <w:instrText xml:space="preserve"> HYPERLINK "mailto:bahati.samillani@tbs.go.tz" </w:instrText>
            </w:r>
            <w:r>
              <w:fldChar w:fldCharType="separate"/>
            </w:r>
            <w:r>
              <w:rPr>
                <w:color w:val="0000FF"/>
                <w:u w:val="single"/>
                <w:lang w:val="pt-BR"/>
              </w:rPr>
              <w:t>bahati.samillani@tbs.go.tz</w:t>
            </w:r>
            <w:r>
              <w:rPr>
                <w:color w:val="0000FF"/>
                <w:u w:val="single"/>
                <w:lang w:val="pt-BR"/>
              </w:rPr>
              <w:fldChar w:fldCharType="end"/>
            </w:r>
          </w:p>
          <w:p w14:paraId="28D5C138">
            <w:pPr>
              <w:keepNext/>
              <w:keepLines/>
              <w:pBdr>
                <w:top w:val="none" w:color="auto" w:sz="0" w:space="4"/>
              </w:pBdr>
              <w:spacing w:after="120"/>
              <w:rPr>
                <w:color w:val="0000FF"/>
                <w:u w:val="single"/>
                <w:lang w:val="pt-BR"/>
              </w:rPr>
            </w:pPr>
            <w:r>
              <w:rPr>
                <w:lang w:val="pt-BR"/>
              </w:rPr>
              <w:t xml:space="preserve">Website: </w:t>
            </w:r>
            <w:r>
              <w:fldChar w:fldCharType="begin"/>
            </w:r>
            <w:r>
              <w:instrText xml:space="preserve"> HYPERLINK "http://www.tbs.go.tz" \t "_blank" </w:instrText>
            </w:r>
            <w:r>
              <w:fldChar w:fldCharType="separate"/>
            </w:r>
            <w:r>
              <w:rPr>
                <w:color w:val="0000FF"/>
                <w:u w:val="single"/>
                <w:lang w:val="pt-BR"/>
              </w:rPr>
              <w:t>http://www.tbs.go.tz</w:t>
            </w:r>
            <w:r>
              <w:rPr>
                <w:color w:val="0000FF"/>
                <w:u w:val="single"/>
                <w:lang w:val="pt-BR"/>
              </w:rPr>
              <w:fldChar w:fldCharType="end"/>
            </w:r>
          </w:p>
          <w:p w14:paraId="2A9E148E">
            <w:pPr>
              <w:spacing w:before="120" w:after="120"/>
            </w:pPr>
            <w:r>
              <w:rPr>
                <w:b/>
                <w:bCs/>
                <w:iCs/>
              </w:rPr>
              <w:t>Link to notified document(s) and/or contact details for agency or authority which can provide copies upon request:</w:t>
            </w:r>
            <w:r>
              <w:rPr>
                <w:iCs/>
              </w:rPr>
              <w:t xml:space="preserve"> </w:t>
            </w:r>
          </w:p>
          <w:p w14:paraId="1931E96E">
            <w:pPr>
              <w:keepNext/>
              <w:keepLines/>
              <w:pBdr>
                <w:top w:val="none" w:color="auto" w:sz="0" w:space="4"/>
              </w:pBdr>
              <w:spacing w:after="120"/>
              <w:rPr>
                <w:color w:val="0000FF"/>
                <w:u w:val="single"/>
                <w:lang w:val="pt-PT"/>
              </w:rPr>
            </w:pPr>
            <w:r>
              <w:fldChar w:fldCharType="begin"/>
            </w:r>
            <w:r>
              <w:instrText xml:space="preserve"> HYPERLINK "https://members.wto.org/crnattachments/2025/TBT/TZA/25_04259_00_e.pdf" \t "_blank" </w:instrText>
            </w:r>
            <w:r>
              <w:fldChar w:fldCharType="separate"/>
            </w:r>
            <w:r>
              <w:rPr>
                <w:iCs/>
                <w:color w:val="0000FF"/>
                <w:u w:val="single"/>
              </w:rPr>
              <w:t>https://members.wto.org/crnattachments/2025/TBT/TZA/25_04259_00_e.pdf</w:t>
            </w:r>
            <w:r>
              <w:rPr>
                <w:iCs/>
                <w:color w:val="0000FF"/>
                <w:u w:val="single"/>
              </w:rPr>
              <w:fldChar w:fldCharType="end"/>
            </w:r>
          </w:p>
        </w:tc>
      </w:tr>
    </w:tbl>
    <w:p w14:paraId="49B7329A">
      <w:pPr>
        <w:rPr>
          <w:lang w:val="pt-PT"/>
        </w:rPr>
      </w:pPr>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3DE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4F05">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3CB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995E">
    <w:pPr>
      <w:pStyle w:val="58"/>
      <w:pBdr>
        <w:bottom w:val="single" w:color="auto" w:sz="4" w:space="1"/>
      </w:pBdr>
      <w:tabs>
        <w:tab w:val="clear" w:pos="4513"/>
        <w:tab w:val="clear" w:pos="9027"/>
      </w:tabs>
      <w:jc w:val="center"/>
    </w:pPr>
    <w:bookmarkStart w:id="9" w:name="spsSymbolHeader"/>
    <w:r>
      <w:t>G/TBT/N/BDI/619, G/TBT/N/KEN/1819, G/TBT/N/RWA/1218, G/TBT/N/TZA/1360, G/TBT/N/UGA/2174</w:t>
    </w:r>
    <w:bookmarkEnd w:id="9"/>
  </w:p>
  <w:p w14:paraId="43658969">
    <w:pPr>
      <w:pStyle w:val="58"/>
      <w:pBdr>
        <w:bottom w:val="single" w:color="auto" w:sz="4" w:space="1"/>
      </w:pBdr>
      <w:tabs>
        <w:tab w:val="clear" w:pos="4513"/>
        <w:tab w:val="clear" w:pos="9027"/>
      </w:tabs>
      <w:jc w:val="center"/>
    </w:pPr>
  </w:p>
  <w:p w14:paraId="295547F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7B62811">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3450">
    <w:pPr>
      <w:pStyle w:val="58"/>
      <w:pBdr>
        <w:bottom w:val="single" w:color="auto" w:sz="4" w:space="1"/>
      </w:pBdr>
      <w:tabs>
        <w:tab w:val="clear" w:pos="4513"/>
        <w:tab w:val="clear" w:pos="9027"/>
      </w:tabs>
      <w:jc w:val="center"/>
    </w:pPr>
    <w:r>
      <w:t>tbtSymbol</w:t>
    </w:r>
  </w:p>
  <w:p w14:paraId="556BB8A7">
    <w:pPr>
      <w:pStyle w:val="58"/>
      <w:pBdr>
        <w:bottom w:val="single" w:color="auto" w:sz="4" w:space="1"/>
      </w:pBdr>
      <w:tabs>
        <w:tab w:val="clear" w:pos="4513"/>
        <w:tab w:val="clear" w:pos="9027"/>
      </w:tabs>
      <w:jc w:val="center"/>
    </w:pPr>
  </w:p>
  <w:p w14:paraId="2097C57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97F6E86">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890810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576D59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AED9C42">
          <w:pPr>
            <w:jc w:val="right"/>
            <w:rPr>
              <w:b/>
              <w:color w:val="FF0000"/>
              <w:szCs w:val="16"/>
            </w:rPr>
          </w:pPr>
        </w:p>
      </w:tc>
    </w:tr>
    <w:bookmarkEnd w:id="0"/>
    <w:tr w14:paraId="339D1D6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AB3609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E8D08F2">
          <w:pPr>
            <w:jc w:val="right"/>
            <w:rPr>
              <w:b/>
              <w:szCs w:val="16"/>
            </w:rPr>
          </w:pPr>
        </w:p>
      </w:tc>
    </w:tr>
    <w:tr w14:paraId="4F498A5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D7EE5FF">
          <w:pPr>
            <w:jc w:val="left"/>
            <w:rPr>
              <w:lang w:eastAsia="en-GB"/>
            </w:rPr>
          </w:pPr>
        </w:p>
      </w:tc>
      <w:tc>
        <w:tcPr>
          <w:tcW w:w="5448" w:type="dxa"/>
          <w:gridSpan w:val="2"/>
          <w:shd w:val="clear" w:color="auto" w:fill="FFFFFF"/>
          <w:tcMar>
            <w:left w:w="108" w:type="dxa"/>
            <w:right w:w="108" w:type="dxa"/>
          </w:tcMar>
        </w:tcPr>
        <w:p w14:paraId="784A23BA">
          <w:pPr>
            <w:jc w:val="right"/>
            <w:rPr>
              <w:rFonts w:hint="eastAsia" w:eastAsia="宋体"/>
              <w:b/>
              <w:szCs w:val="16"/>
              <w:lang w:eastAsia="zh-CN"/>
            </w:rPr>
          </w:pPr>
          <w:bookmarkStart w:id="1" w:name="bmkSymbols"/>
          <w:r>
            <w:rPr>
              <w:b/>
              <w:szCs w:val="16"/>
            </w:rPr>
            <w:t>G/TBT/N/BDI/6</w:t>
          </w:r>
          <w:r>
            <w:rPr>
              <w:rFonts w:hint="eastAsia" w:eastAsia="宋体"/>
              <w:b/>
              <w:szCs w:val="16"/>
              <w:lang w:val="en-US" w:eastAsia="zh-CN"/>
            </w:rPr>
            <w:t>23</w:t>
          </w:r>
          <w:r>
            <w:rPr>
              <w:b/>
              <w:szCs w:val="16"/>
            </w:rPr>
            <w:t>, G/TBT/N/KEN/18</w:t>
          </w:r>
          <w:r>
            <w:rPr>
              <w:rFonts w:hint="eastAsia" w:eastAsia="宋体"/>
              <w:b/>
              <w:szCs w:val="16"/>
              <w:lang w:val="en-US" w:eastAsia="zh-CN"/>
            </w:rPr>
            <w:t>23</w:t>
          </w:r>
          <w:r>
            <w:rPr>
              <w:b/>
              <w:szCs w:val="16"/>
            </w:rPr>
            <w:t>, G/TBT/N/RWA/12</w:t>
          </w:r>
          <w:r>
            <w:rPr>
              <w:rFonts w:hint="eastAsia" w:eastAsia="宋体"/>
              <w:b/>
              <w:szCs w:val="16"/>
              <w:lang w:val="en-US" w:eastAsia="zh-CN"/>
            </w:rPr>
            <w:t>22</w:t>
          </w:r>
          <w:r>
            <w:rPr>
              <w:b/>
              <w:szCs w:val="16"/>
            </w:rPr>
            <w:t>, G/TBT/N/TZA/136</w:t>
          </w:r>
          <w:r>
            <w:rPr>
              <w:rFonts w:hint="eastAsia" w:eastAsia="宋体"/>
              <w:b/>
              <w:szCs w:val="16"/>
              <w:lang w:val="en-US" w:eastAsia="zh-CN"/>
            </w:rPr>
            <w:t>4</w:t>
          </w:r>
          <w:r>
            <w:rPr>
              <w:b/>
              <w:szCs w:val="16"/>
            </w:rPr>
            <w:t>, G/TBT/N/UGA/217</w:t>
          </w:r>
          <w:bookmarkEnd w:id="1"/>
          <w:r>
            <w:rPr>
              <w:rFonts w:hint="eastAsia" w:eastAsia="宋体"/>
              <w:b/>
              <w:szCs w:val="16"/>
              <w:lang w:val="en-US" w:eastAsia="zh-CN"/>
            </w:rPr>
            <w:t>8</w:t>
          </w:r>
        </w:p>
      </w:tc>
    </w:tr>
    <w:tr w14:paraId="386445B3">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34CD125"/>
      </w:tc>
      <w:tc>
        <w:tcPr>
          <w:tcW w:w="5448" w:type="dxa"/>
          <w:gridSpan w:val="2"/>
          <w:shd w:val="clear" w:color="auto" w:fill="FFFFFF"/>
          <w:tcMar>
            <w:left w:w="108" w:type="dxa"/>
            <w:right w:w="108" w:type="dxa"/>
          </w:tcMar>
          <w:vAlign w:val="center"/>
        </w:tcPr>
        <w:p w14:paraId="4500525B">
          <w:pPr>
            <w:jc w:val="right"/>
            <w:rPr>
              <w:szCs w:val="16"/>
            </w:rPr>
          </w:pPr>
          <w:bookmarkStart w:id="2" w:name="spsDateDistribution"/>
          <w:bookmarkStart w:id="3" w:name="bmkDate"/>
          <w:r>
            <w:rPr>
              <w:szCs w:val="16"/>
            </w:rPr>
            <w:t>1 July 2025</w:t>
          </w:r>
          <w:bookmarkEnd w:id="2"/>
          <w:bookmarkEnd w:id="3"/>
        </w:p>
      </w:tc>
    </w:tr>
    <w:tr w14:paraId="4A534AE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9D2B94B">
          <w:pPr>
            <w:jc w:val="left"/>
            <w:rPr>
              <w:b/>
            </w:rPr>
          </w:pPr>
          <w:bookmarkStart w:id="4" w:name="bmkSerial"/>
          <w:r>
            <w:rPr>
              <w:b w:val="0"/>
              <w:color w:val="FF0000"/>
            </w:rPr>
            <w:t>(25-4</w:t>
          </w:r>
          <w:r>
            <w:rPr>
              <w:rFonts w:hint="eastAsia" w:eastAsia="宋体"/>
              <w:b w:val="0"/>
              <w:color w:val="FF0000"/>
              <w:lang w:val="en-US" w:eastAsia="zh-CN"/>
            </w:rPr>
            <w:t>241</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41B6736">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5"/>
        </w:p>
      </w:tc>
    </w:tr>
    <w:tr w14:paraId="16B72284">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86E246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478BB5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AB3E0B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4A6A"/>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C2FFC"/>
    <w:rsid w:val="009D1D8C"/>
    <w:rsid w:val="009D1FF8"/>
    <w:rsid w:val="009E75ED"/>
    <w:rsid w:val="009F1F2F"/>
    <w:rsid w:val="009F21A8"/>
    <w:rsid w:val="00A04DCD"/>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088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55D1"/>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3D19"/>
    <w:rsid w:val="00E969D2"/>
    <w:rsid w:val="00EA5D4F"/>
    <w:rsid w:val="00EB6C56"/>
    <w:rsid w:val="00ED54E0"/>
    <w:rsid w:val="00ED66D3"/>
    <w:rsid w:val="00EE26D8"/>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17E40CF"/>
    <w:rsid w:val="1DFC1901"/>
    <w:rsid w:val="24A00ED0"/>
    <w:rsid w:val="2F90153F"/>
    <w:rsid w:val="421038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uiPriority="99" w:name="index 2"/>
    <w:lsdException w:qFormat="1" w:uiPriority="99" w:name="index 3"/>
    <w:lsdException w:qFormat="1" w:uiPriority="99" w:name="index 4"/>
    <w:lsdException w:qFormat="1" w:uiPriority="99" w:name="index 5"/>
    <w:lsdException w:qFormat="1" w:uiPriority="99" w:name="index 6"/>
    <w:lsdException w:uiPriority="99" w:name="index 7"/>
    <w:lsdException w:qFormat="1"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uiPriority="99" w:name="Table Classic 2"/>
    <w:lsdException w:qFormat="1" w:uiPriority="99" w:name="Table Classic 3"/>
    <w:lsdException w:qFormat="1" w:uiPriority="99" w:name="Table Classic 4"/>
    <w:lsdException w:uiPriority="99" w:name="Table Colorful 1"/>
    <w:lsdException w:uiPriority="99" w:name="Table Colorful 2"/>
    <w:lsdException w:qFormat="1" w:uiPriority="99" w:name="Table Colorful 3"/>
    <w:lsdException w:uiPriority="99" w:name="Table Columns 1"/>
    <w:lsdException w:uiPriority="99" w:name="Table Columns 2"/>
    <w:lsdException w:uiPriority="99" w:name="Table Columns 3"/>
    <w:lsdException w:qFormat="1" w:uiPriority="99" w:name="Table Columns 4"/>
    <w:lsdException w:uiPriority="99" w:name="Table Columns 5"/>
    <w:lsdException w:uiPriority="99" w:name="Table Grid 1"/>
    <w:lsdException w:uiPriority="99" w:name="Table Grid 2"/>
    <w:lsdException w:qFormat="1" w:uiPriority="99" w:name="Table Grid 3"/>
    <w:lsdException w:uiPriority="99" w:name="Table Grid 4"/>
    <w:lsdException w:uiPriority="99" w:name="Table Grid 5"/>
    <w:lsdException w:uiPriority="99" w:name="Table Grid 6"/>
    <w:lsdException w:qFormat="1" w:uiPriority="99" w:name="Table Grid 7"/>
    <w:lsdException w:qFormat="1" w:uiPriority="99" w:name="Table Grid 8"/>
    <w:lsdException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uiPriority="99" w:name="Table 3D effects 1"/>
    <w:lsdException w:uiPriority="99" w:name="Table 3D effects 2"/>
    <w:lsdException w:qFormat="1" w:uiPriority="99" w:name="Table 3D effects 3"/>
    <w:lsdException w:uiPriority="99" w:name="Table Contemporary"/>
    <w:lsdException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495</Words>
  <Characters>2994</Characters>
  <Lines>38</Lines>
  <Paragraphs>10</Paragraphs>
  <TotalTime>0</TotalTime>
  <ScaleCrop>false</ScaleCrop>
  <LinksUpToDate>false</LinksUpToDate>
  <CharactersWithSpaces>3445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2025-06-19T15:22:00Z</dcterms:created>
  <dc:creator>mark louie medidas</dc:creator>
  <dc:description>LDIMD - DTU</dc:description>
  <cp:lastModifiedBy> 譞譞</cp:lastModifiedBy>
  <dcterms:modified xsi:type="dcterms:W3CDTF">2025-07-03T15:17:28Z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3CC2A9CF37E3420B8A9EA272AF224311_12</vt:lpwstr>
  </property>
</Properties>
</file>