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7C0A2D58">
            <w:r>
              <w:t>Tanzania Bureau of Standards (TBS)</w:t>
            </w:r>
          </w:p>
          <w:p w14:paraId="5EDEAEC2">
            <w:pPr>
              <w:numPr>
                <w:ilvl w:val="0"/>
                <w:numId w:val="0"/>
              </w:numPr>
              <w:spacing w:after="120"/>
            </w:pPr>
            <w:r>
              <w:t xml:space="preserve">MOROGORO/Sam Nujoma Road, Ubungo P O BOX 9524, Dar es Salaam, Tanzania </w:t>
            </w:r>
          </w:p>
          <w:p w14:paraId="7F9560B4">
            <w:pPr>
              <w:numPr>
                <w:ilvl w:val="0"/>
                <w:numId w:val="0"/>
              </w:numPr>
              <w:spacing w:after="120"/>
            </w:pPr>
            <w:r>
              <w:t xml:space="preserve">Tel: +255 222450206, </w:t>
            </w:r>
          </w:p>
          <w:p w14:paraId="796F0909">
            <w:pPr>
              <w:numPr>
                <w:ilvl w:val="0"/>
                <w:numId w:val="0"/>
              </w:numPr>
              <w:spacing w:after="120"/>
            </w:pPr>
            <w:r>
              <w:t xml:space="preserve">E- mail: </w:t>
            </w:r>
            <w:r>
              <w:fldChar w:fldCharType="begin"/>
            </w:r>
            <w:r>
              <w:instrText xml:space="preserve"> HYPERLINK "mailto:nep@tbs.go.tz" </w:instrText>
            </w:r>
            <w:r>
              <w:fldChar w:fldCharType="separate"/>
            </w:r>
            <w:r>
              <w:rPr>
                <w:color w:val="0000FF"/>
                <w:u w:val="single"/>
              </w:rPr>
              <w:t>nep@tbs.go.tz</w:t>
            </w:r>
            <w:r>
              <w:rPr>
                <w:color w:val="0000FF"/>
                <w:u w:val="single"/>
              </w:rPr>
              <w:fldChar w:fldCharType="end"/>
            </w:r>
            <w:r>
              <w:t xml:space="preserve"> </w:t>
            </w:r>
          </w:p>
          <w:p w14:paraId="3E09ED40">
            <w:pPr>
              <w:numPr>
                <w:ilvl w:val="0"/>
                <w:numId w:val="0"/>
              </w:numPr>
              <w:spacing w:after="120"/>
            </w:pPr>
            <w:r>
              <w:t xml:space="preserve">Website: </w:t>
            </w:r>
            <w:r>
              <w:fldChar w:fldCharType="begin"/>
            </w:r>
            <w:r>
              <w:instrText xml:space="preserve"> HYPERLINK "http://www.tbs.go.tz" </w:instrText>
            </w:r>
            <w:r>
              <w:fldChar w:fldCharType="separate"/>
            </w:r>
            <w:r>
              <w:rPr>
                <w:rStyle w:val="242"/>
              </w:rPr>
              <w:t>www.tbs.go.tz</w:t>
            </w:r>
            <w: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[X], 2.10.1 [ ], 5.6.2 [ ],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Shampoos (HS code(s): 330510); Surface active agents (ICS code(s): 71.100.40)</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5EA7F027">
            <w:pPr>
              <w:spacing w:before="120" w:after="120"/>
            </w:pPr>
            <w:r>
              <w:rPr>
                <w:b/>
              </w:rPr>
              <w:t>Title, number of pages and language(s) of the notified document:</w:t>
            </w:r>
            <w:r>
              <w:t xml:space="preserve"> DEAS 842-1: 2025, Hair shampoo — Part 1: Soap based — Specification, Second Edition; (14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t xml:space="preserve"> This East African Standard specifies requirements, sampling and test methods for soap-based hair shampoo.</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Consumer information, labelling;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1B8D0543">
            <w:pPr>
              <w:numPr>
                <w:ilvl w:val="0"/>
                <w:numId w:val="7"/>
              </w:numPr>
              <w:spacing w:before="120" w:after="120"/>
            </w:pPr>
            <w:r>
              <w:t>EAS 346, Labelling of cosmetics — General requirements</w:t>
            </w:r>
          </w:p>
          <w:p w14:paraId="0C0F9916">
            <w:pPr>
              <w:numPr>
                <w:ilvl w:val="0"/>
                <w:numId w:val="7"/>
              </w:numPr>
              <w:spacing w:before="120" w:after="120"/>
            </w:pPr>
            <w:r>
              <w:t>EAS 377, (all parts), Cosmetics and cosmetic products</w:t>
            </w:r>
          </w:p>
          <w:p w14:paraId="4D7087E1">
            <w:pPr>
              <w:numPr>
                <w:ilvl w:val="0"/>
                <w:numId w:val="7"/>
              </w:numPr>
              <w:spacing w:before="120" w:after="120"/>
            </w:pPr>
            <w:r>
              <w:t>EAS 794, Determination of the microbial inhibition of cosmetic soap bars and liquid hand and body washes — Test method</w:t>
            </w:r>
          </w:p>
          <w:p w14:paraId="7119A6FD">
            <w:pPr>
              <w:numPr>
                <w:ilvl w:val="0"/>
                <w:numId w:val="7"/>
              </w:numPr>
              <w:spacing w:before="120" w:after="120"/>
            </w:pPr>
            <w:r>
              <w:t>EAS 846, Glossary of terms relating to the cosmetic industry</w:t>
            </w:r>
          </w:p>
          <w:p w14:paraId="00283977">
            <w:pPr>
              <w:numPr>
                <w:ilvl w:val="0"/>
                <w:numId w:val="7"/>
              </w:numPr>
              <w:spacing w:before="120" w:after="120"/>
            </w:pPr>
            <w:r>
              <w:t>EAS 847-16, Cosmetics — Analytical methods — Part 16: Determination of lead, mercury and arsenic content</w:t>
            </w:r>
          </w:p>
          <w:p w14:paraId="22313FF5">
            <w:pPr>
              <w:numPr>
                <w:ilvl w:val="0"/>
                <w:numId w:val="7"/>
              </w:numPr>
              <w:spacing w:before="120" w:after="120"/>
            </w:pPr>
            <w:r>
              <w:t>EAS 847-17, Cosmetics — Analytical methods — Part 17: Determination of pH</w:t>
            </w:r>
          </w:p>
          <w:p w14:paraId="566F568C">
            <w:pPr>
              <w:numPr>
                <w:ilvl w:val="0"/>
                <w:numId w:val="7"/>
              </w:numPr>
              <w:spacing w:before="120" w:after="120"/>
            </w:pPr>
            <w:r>
              <w:t>EAS 847-27, Cosmetics — Analytical methods — Part 27: Determination of total fatty substance by gravimetric method</w:t>
            </w:r>
          </w:p>
          <w:p w14:paraId="08581819">
            <w:pPr>
              <w:numPr>
                <w:ilvl w:val="0"/>
                <w:numId w:val="7"/>
              </w:numPr>
              <w:spacing w:before="120" w:after="120"/>
            </w:pPr>
            <w:r>
              <w:t>EAS 847-20, Cosmetics — Analytical methods —:Part 20: Determination of lather volume (foaming power)</w:t>
            </w:r>
          </w:p>
          <w:p w14:paraId="36A12563">
            <w:pPr>
              <w:numPr>
                <w:ilvl w:val="0"/>
                <w:numId w:val="7"/>
              </w:numPr>
              <w:spacing w:before="120" w:after="120"/>
            </w:pPr>
            <w:r>
              <w:t>EAS 847-28, Cosmetics — Analytical methods —:Part 28:Determination of free caustic alkali</w:t>
            </w:r>
          </w:p>
          <w:p w14:paraId="5F242A8B">
            <w:pPr>
              <w:numPr>
                <w:ilvl w:val="0"/>
                <w:numId w:val="7"/>
              </w:numPr>
              <w:spacing w:before="120" w:after="120"/>
            </w:pPr>
            <w:r>
              <w:t>ISO 673, Analysis of soap — Determination of ethanol insoluble matter</w:t>
            </w:r>
          </w:p>
          <w:p w14:paraId="0980FFB3">
            <w:pPr>
              <w:numPr>
                <w:ilvl w:val="0"/>
                <w:numId w:val="7"/>
              </w:numPr>
              <w:spacing w:before="120" w:after="120"/>
            </w:pPr>
            <w:r>
              <w:t>ISO 21149, Cosmetics Microbiology Enumeration and detection of aerobic mesophilic bacteria</w:t>
            </w:r>
          </w:p>
          <w:p w14:paraId="34DE2A67">
            <w:pPr>
              <w:numPr>
                <w:ilvl w:val="0"/>
                <w:numId w:val="7"/>
              </w:numPr>
              <w:spacing w:before="120" w:after="120"/>
            </w:pPr>
            <w:r>
              <w:t>ISO 18416, Cosmetics — Microbiology — Detection of Candida albicans</w:t>
            </w:r>
          </w:p>
          <w:p w14:paraId="4A0D89FC">
            <w:pPr>
              <w:numPr>
                <w:ilvl w:val="0"/>
                <w:numId w:val="7"/>
              </w:numPr>
              <w:spacing w:before="120" w:after="120"/>
            </w:pPr>
            <w:r>
              <w:t>ISO 22717 Cosmetics — Microbiology — Detection of Pseudomonas aeruginosa</w:t>
            </w:r>
          </w:p>
          <w:p w14:paraId="047356DA">
            <w:pPr>
              <w:numPr>
                <w:ilvl w:val="0"/>
                <w:numId w:val="7"/>
              </w:numPr>
              <w:spacing w:before="120" w:after="120"/>
            </w:pPr>
            <w:r>
              <w:t>ISO 22718, Cosmetics — Microbiology — Detection of Staphylococcus aureus</w:t>
            </w:r>
          </w:p>
          <w:p w14:paraId="57D7958D">
            <w:pPr>
              <w:numPr>
                <w:ilvl w:val="0"/>
                <w:numId w:val="7"/>
              </w:numPr>
              <w:spacing w:before="120" w:after="120"/>
            </w:pPr>
            <w:r>
              <w:t>ISO 24153, Random sampling and randomisation procedures</w:t>
            </w:r>
          </w:p>
          <w:p w14:paraId="04913072">
            <w:pPr>
              <w:numPr>
                <w:ilvl w:val="0"/>
                <w:numId w:val="7"/>
              </w:numPr>
              <w:spacing w:before="120" w:after="120"/>
            </w:pPr>
            <w:r>
              <w:t>EAS 842-1: 2017, Hair shampoo — Specification — Part 1: Soap based</w:t>
            </w:r>
          </w:p>
          <w:p w14:paraId="50FC404F">
            <w:pPr>
              <w:numPr>
                <w:ilvl w:val="0"/>
                <w:numId w:val="7"/>
              </w:numPr>
              <w:spacing w:before="120" w:after="120"/>
            </w:pPr>
            <w:r>
              <w:t>ASTM E1174 Standard Test Method for Evaluation of the Effectiveness of Healthcare Personnel Handwash Formulations</w:t>
            </w:r>
          </w:p>
          <w:p w14:paraId="690C55F0">
            <w:pPr>
              <w:numPr>
                <w:ilvl w:val="0"/>
                <w:numId w:val="7"/>
              </w:numPr>
              <w:spacing w:before="120" w:after="120"/>
              <w:ind w:left="720" w:leftChars="0" w:hanging="360" w:firstLineChars="0"/>
            </w:pPr>
            <w:r>
              <w:t>EN 1276 Evaluation of chemical disinfectant or antiseptic for bactericidal activity</w:t>
            </w:r>
            <w:bookmarkStart w:id="10" w:name="_GoBack"/>
            <w:bookmarkEnd w:id="10"/>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 and notified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30 August 2025</w:t>
            </w:r>
            <w:r>
              <w:rPr>
                <w:rFonts w:hint="eastAsia" w:eastAsia="宋体"/>
                <w:lang w:eastAsia="zh-CN"/>
              </w:rPr>
              <w:t>，</w:t>
            </w:r>
          </w:p>
          <w:p w14:paraId="6E1ED81B">
            <w:pPr>
              <w:spacing w:before="120" w:after="120"/>
              <w:rPr>
                <w:rFonts w:hint="eastAsia" w:eastAsia="宋体"/>
                <w:lang w:eastAsia="zh-CN"/>
              </w:rPr>
            </w:pPr>
            <w:r>
              <w:rPr>
                <w:b/>
                <w:bCs/>
              </w:rPr>
              <w:t>[X] 60 days from notification</w:t>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3709B6E5">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0691788">
            <w:r>
              <w:t>Contact person(s):</w:t>
            </w:r>
          </w:p>
          <w:p w14:paraId="1AB88085">
            <w:r>
              <w:t>Ms. Bahati Samillani (NEP officer) and Mr. Clavery Chausi</w:t>
            </w:r>
          </w:p>
          <w:p w14:paraId="33272610">
            <w:r>
              <w:t>Tanzania Bureau of Standards (TBS)</w:t>
            </w:r>
          </w:p>
          <w:p w14:paraId="7FEC130B">
            <w:pPr>
              <w:rPr>
                <w:lang w:val="pt-BR"/>
              </w:rPr>
            </w:pPr>
            <w:r>
              <w:rPr>
                <w:lang w:val="pt-BR"/>
              </w:rPr>
              <w:t>Morogoro/Sam Nujoma Road, Ubungo</w:t>
            </w:r>
          </w:p>
          <w:p w14:paraId="1EA38808">
            <w:pPr>
              <w:rPr>
                <w:lang w:val="pt-BR"/>
              </w:rPr>
            </w:pPr>
            <w:r>
              <w:rPr>
                <w:lang w:val="pt-BR"/>
              </w:rPr>
              <w:t>P O Box 9524</w:t>
            </w:r>
          </w:p>
          <w:p w14:paraId="02A65847">
            <w:pPr>
              <w:rPr>
                <w:lang w:val="pt-BR"/>
              </w:rPr>
            </w:pPr>
            <w:r>
              <w:rPr>
                <w:lang w:val="pt-BR"/>
              </w:rPr>
              <w:t>Dar Es Salaam</w:t>
            </w:r>
          </w:p>
          <w:p w14:paraId="42954634">
            <w:pPr>
              <w:rPr>
                <w:lang w:val="pt-BR"/>
              </w:rPr>
            </w:pPr>
            <w:r>
              <w:rPr>
                <w:lang w:val="pt-BR"/>
              </w:rPr>
              <w:t>Tel: +(255) 22 2450206</w:t>
            </w:r>
          </w:p>
          <w:p w14:paraId="73B30B63">
            <w:pPr>
              <w:rPr>
                <w:lang w:val="pt-BR"/>
              </w:rPr>
            </w:pPr>
            <w:r>
              <w:rPr>
                <w:lang w:val="pt-BR"/>
              </w:rPr>
              <w:t xml:space="preserve">Email: </w:t>
            </w:r>
            <w:r>
              <w:fldChar w:fldCharType="begin"/>
            </w:r>
            <w:r>
              <w:instrText xml:space="preserve"> HYPERLINK "mailto:nep@tbs.go.tz" </w:instrText>
            </w:r>
            <w:r>
              <w:fldChar w:fldCharType="separate"/>
            </w:r>
            <w:r>
              <w:rPr>
                <w:color w:val="0000FF"/>
                <w:u w:val="single"/>
                <w:lang w:val="pt-BR"/>
              </w:rPr>
              <w:t>nep@tbs.go.tz</w:t>
            </w:r>
            <w:r>
              <w:rPr>
                <w:color w:val="0000FF"/>
                <w:u w:val="single"/>
                <w:lang w:val="pt-BR"/>
              </w:rPr>
              <w:fldChar w:fldCharType="end"/>
            </w:r>
            <w:r>
              <w:rPr>
                <w:lang w:val="pt-BR"/>
              </w:rPr>
              <w:t xml:space="preserve">; </w:t>
            </w:r>
            <w:r>
              <w:fldChar w:fldCharType="begin"/>
            </w:r>
            <w:r>
              <w:instrText xml:space="preserve"> HYPERLINK "mailto:bahati.samillani@tbs.go.tz" </w:instrText>
            </w:r>
            <w:r>
              <w:fldChar w:fldCharType="separate"/>
            </w:r>
            <w:r>
              <w:rPr>
                <w:color w:val="0000FF"/>
                <w:u w:val="single"/>
                <w:lang w:val="pt-BR"/>
              </w:rPr>
              <w:t>bahati.samillani@tbs.go.tz</w:t>
            </w:r>
            <w:r>
              <w:rPr>
                <w:color w:val="0000FF"/>
                <w:u w:val="single"/>
                <w:lang w:val="pt-BR"/>
              </w:rPr>
              <w:fldChar w:fldCharType="end"/>
            </w:r>
          </w:p>
          <w:p w14:paraId="28D5C138">
            <w:pPr>
              <w:keepNext/>
              <w:keepLines/>
              <w:pBdr>
                <w:top w:val="none" w:color="auto" w:sz="0" w:space="4"/>
              </w:pBdr>
              <w:spacing w:after="120"/>
              <w:rPr>
                <w:color w:val="0000FF"/>
                <w:u w:val="single"/>
                <w:lang w:val="pt-BR"/>
              </w:rPr>
            </w:pPr>
            <w:r>
              <w:rPr>
                <w:lang w:val="pt-BR"/>
              </w:rPr>
              <w:t xml:space="preserve">Website: </w:t>
            </w:r>
            <w:r>
              <w:fldChar w:fldCharType="begin"/>
            </w:r>
            <w:r>
              <w:instrText xml:space="preserve"> HYPERLINK "http://www.tbs.go.tz" \t "_blank" </w:instrText>
            </w:r>
            <w:r>
              <w:fldChar w:fldCharType="separate"/>
            </w:r>
            <w:r>
              <w:rPr>
                <w:color w:val="0000FF"/>
                <w:u w:val="single"/>
                <w:lang w:val="pt-BR"/>
              </w:rPr>
              <w:t>http://www.tbs.go.tz</w:t>
            </w:r>
            <w:r>
              <w:rPr>
                <w:color w:val="0000FF"/>
                <w:u w:val="single"/>
                <w:lang w:val="pt-BR"/>
              </w:rPr>
              <w:fldChar w:fldCharType="end"/>
            </w:r>
          </w:p>
          <w:p w14:paraId="2A9E148E">
            <w:pPr>
              <w:spacing w:before="120" w:after="120"/>
            </w:pPr>
            <w:r>
              <w:rPr>
                <w:b/>
                <w:bCs/>
                <w:iCs/>
              </w:rPr>
              <w:t>Link to notified document(s) and/or contact details for agency or authority which can provide copies upon request:</w:t>
            </w:r>
            <w:r>
              <w:rPr>
                <w:iCs/>
              </w:rPr>
              <w:t xml:space="preserve"> </w:t>
            </w:r>
          </w:p>
          <w:p w14:paraId="1931E96E">
            <w:pPr>
              <w:keepNext/>
              <w:keepLines/>
              <w:pBdr>
                <w:top w:val="none" w:color="auto" w:sz="0" w:space="4"/>
              </w:pBdr>
              <w:spacing w:after="120"/>
              <w:rPr>
                <w:color w:val="0000FF"/>
                <w:u w:val="single"/>
                <w:lang w:val="pt-PT"/>
              </w:rPr>
            </w:pPr>
            <w:r>
              <w:fldChar w:fldCharType="begin"/>
            </w:r>
            <w:r>
              <w:instrText xml:space="preserve"> HYPERLINK "https://members.wto.org/crnattachments/2025/TBT/TZA/25_04254_00_e.pdf" \t "_blank" </w:instrText>
            </w:r>
            <w:r>
              <w:fldChar w:fldCharType="separate"/>
            </w:r>
            <w:r>
              <w:rPr>
                <w:iCs/>
                <w:color w:val="0000FF"/>
                <w:u w:val="single"/>
              </w:rPr>
              <w:t>https://members.wto.org/crnattachments/2025/TBT/TZA/25_04254_00_e.pdf</w:t>
            </w:r>
            <w:r>
              <w:rPr>
                <w:iCs/>
                <w:color w:val="0000FF"/>
                <w:u w:val="single"/>
              </w:rPr>
              <w:fldChar w:fldCharType="end"/>
            </w: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784A23BA">
          <w:pPr>
            <w:jc w:val="right"/>
            <w:rPr>
              <w:rFonts w:hint="eastAsia" w:eastAsia="宋体"/>
              <w:b/>
              <w:szCs w:val="16"/>
              <w:lang w:eastAsia="zh-CN"/>
            </w:rPr>
          </w:pPr>
          <w:bookmarkStart w:id="1" w:name="bmkSymbols"/>
          <w:r>
            <w:rPr>
              <w:b/>
              <w:szCs w:val="16"/>
            </w:rPr>
            <w:t>G/TBT/N/BDI/6</w:t>
          </w:r>
          <w:r>
            <w:rPr>
              <w:rFonts w:hint="eastAsia" w:eastAsia="宋体"/>
              <w:b/>
              <w:szCs w:val="16"/>
              <w:lang w:val="en-US" w:eastAsia="zh-CN"/>
            </w:rPr>
            <w:t>22</w:t>
          </w:r>
          <w:r>
            <w:rPr>
              <w:b/>
              <w:szCs w:val="16"/>
            </w:rPr>
            <w:t>, G/TBT/N/KEN/18</w:t>
          </w:r>
          <w:r>
            <w:rPr>
              <w:rFonts w:hint="eastAsia" w:eastAsia="宋体"/>
              <w:b/>
              <w:szCs w:val="16"/>
              <w:lang w:val="en-US" w:eastAsia="zh-CN"/>
            </w:rPr>
            <w:t>22</w:t>
          </w:r>
          <w:r>
            <w:rPr>
              <w:b/>
              <w:szCs w:val="16"/>
            </w:rPr>
            <w:t>, G/TBT/N/RWA/12</w:t>
          </w:r>
          <w:r>
            <w:rPr>
              <w:rFonts w:hint="eastAsia" w:eastAsia="宋体"/>
              <w:b/>
              <w:szCs w:val="16"/>
              <w:lang w:val="en-US" w:eastAsia="zh-CN"/>
            </w:rPr>
            <w:t>21</w:t>
          </w:r>
          <w:r>
            <w:rPr>
              <w:b/>
              <w:szCs w:val="16"/>
            </w:rPr>
            <w:t>, G/TBT/N/TZA/136</w:t>
          </w:r>
          <w:r>
            <w:rPr>
              <w:rFonts w:hint="eastAsia" w:eastAsia="宋体"/>
              <w:b/>
              <w:szCs w:val="16"/>
              <w:lang w:val="en-US" w:eastAsia="zh-CN"/>
            </w:rPr>
            <w:t>3</w:t>
          </w:r>
          <w:r>
            <w:rPr>
              <w:b/>
              <w:szCs w:val="16"/>
            </w:rPr>
            <w:t>, G/TBT/N/UGA/217</w:t>
          </w:r>
          <w:bookmarkEnd w:id="1"/>
          <w:r>
            <w:rPr>
              <w:rFonts w:hint="eastAsia" w:eastAsia="宋体"/>
              <w:b/>
              <w:szCs w:val="16"/>
              <w:lang w:val="en-US" w:eastAsia="zh-CN"/>
            </w:rPr>
            <w:t>7</w:t>
          </w:r>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spsDateDistribution"/>
          <w:bookmarkStart w:id="3" w:name="bmkDate"/>
          <w:r>
            <w:rPr>
              <w:szCs w:val="16"/>
            </w:rPr>
            <w:t>1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240</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DFC1901"/>
    <w:rsid w:val="24A00ED0"/>
    <w:rsid w:val="2F90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uiPriority="99" w:name="index 2"/>
    <w:lsdException w:qFormat="1" w:uiPriority="99" w:name="index 3"/>
    <w:lsdException w:qFormat="1" w:uiPriority="99" w:name="index 4"/>
    <w:lsdException w:qFormat="1" w:uiPriority="99" w:name="index 5"/>
    <w:lsdException w:uiPriority="99" w:name="index 6"/>
    <w:lsdException w:uiPriority="99" w:name="index 7"/>
    <w:lsdException w:qFormat="1"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qFormat="1"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qFormat="1" w:uiPriority="99" w:name="Table Columns 4"/>
    <w:lsdException w:uiPriority="99" w:name="Table Columns 5"/>
    <w:lsdException w:uiPriority="99" w:name="Table Grid 1"/>
    <w:lsdException w:uiPriority="99" w:name="Table Grid 2"/>
    <w:lsdException w:qFormat="1" w:uiPriority="99" w:name="Table Grid 3"/>
    <w:lsdException w:uiPriority="99" w:name="Table Grid 4"/>
    <w:lsdException w:uiPriority="99" w:name="Table Grid 5"/>
    <w:lsdException w:uiPriority="99" w:name="Table Grid 6"/>
    <w:lsdException w:qFormat="1" w:uiPriority="99" w:name="Table Grid 7"/>
    <w:lsdException w:qFormat="1" w:uiPriority="99" w:name="Table Grid 8"/>
    <w:lsdException w:uiPriority="99" w:name="Table List 1"/>
    <w:lsdException w:uiPriority="99" w:name="Table List 2"/>
    <w:lsdException w:uiPriority="99" w:name="Table List 3"/>
    <w:lsdException w:uiPriority="99" w:name="Table List 4"/>
    <w:lsdException w:qFormat="1" w:uiPriority="99" w:name="Table List 5"/>
    <w:lsdException w:qFormat="1" w:uiPriority="99" w:name="Table List 6"/>
    <w:lsdException w:qFormat="1" w:uiPriority="99" w:name="Table List 7"/>
    <w:lsdException w:qFormat="1"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629</Words>
  <Characters>3637</Characters>
  <Lines>38</Lines>
  <Paragraphs>10</Paragraphs>
  <TotalTime>0</TotalTime>
  <ScaleCrop>false</ScaleCrop>
  <LinksUpToDate>false</LinksUpToDate>
  <CharactersWithSpaces>4210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2025-07-03T15:11:28Z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3CC2A9CF37E3420B8A9EA272AF224311_12</vt:lpwstr>
  </property>
</Properties>
</file>