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009FD7CF">
            <w:r>
              <w:t>Tanzania Bureau of Standards (TBS)</w:t>
            </w:r>
          </w:p>
          <w:p w14:paraId="0F26CC2F">
            <w:pPr>
              <w:rPr>
                <w:lang w:val="pt-BR"/>
              </w:rPr>
            </w:pPr>
            <w:r>
              <w:rPr>
                <w:lang w:val="pt-BR"/>
              </w:rPr>
              <w:t>MOROGORO/Sam Nujoma Road, Ubungo</w:t>
            </w:r>
          </w:p>
          <w:p w14:paraId="5E73F274">
            <w:pPr>
              <w:rPr>
                <w:lang w:val="pt-BR"/>
              </w:rPr>
            </w:pPr>
            <w:r>
              <w:rPr>
                <w:lang w:val="pt-BR"/>
              </w:rPr>
              <w:t>P O BOX 9524, Dar es Salaam, Tanzania</w:t>
            </w:r>
          </w:p>
          <w:p w14:paraId="51C97A82">
            <w:pPr>
              <w:rPr>
                <w:lang w:val="pt-BR"/>
              </w:rPr>
            </w:pPr>
            <w:r>
              <w:rPr>
                <w:lang w:val="pt-BR"/>
              </w:rPr>
              <w:t xml:space="preserve">Tel: +255 222450206, </w:t>
            </w:r>
          </w:p>
          <w:p w14:paraId="733FE247">
            <w:pPr>
              <w:rPr>
                <w:lang w:val="pt-BR"/>
              </w:rPr>
            </w:pPr>
            <w:r>
              <w:rPr>
                <w:rFonts w:hint="eastAsia" w:eastAsia="宋体"/>
                <w:lang w:val="en-US" w:eastAsia="zh-CN"/>
              </w:rPr>
              <w:t>E-</w:t>
            </w:r>
            <w:r>
              <w:rPr>
                <w:lang w:val="pt-BR"/>
              </w:rPr>
              <w:t xml:space="preserve">mail: </w:t>
            </w:r>
            <w:r>
              <w:fldChar w:fldCharType="begin"/>
            </w:r>
            <w:r>
              <w:instrText xml:space="preserve"> HYPERLINK "mailto:nep@tbs.go.tz" </w:instrText>
            </w:r>
            <w:r>
              <w:fldChar w:fldCharType="separate"/>
            </w:r>
            <w:r>
              <w:rPr>
                <w:lang w:val="pt-BR"/>
              </w:rPr>
              <w:t>nep@tbs.go.tz</w:t>
            </w:r>
            <w:r>
              <w:rPr>
                <w:lang w:val="pt-BR"/>
              </w:rPr>
              <w:fldChar w:fldCharType="end"/>
            </w:r>
            <w:r>
              <w:rPr>
                <w:lang w:val="pt-BR"/>
              </w:rPr>
              <w:t xml:space="preserve"> </w:t>
            </w:r>
          </w:p>
          <w:p w14:paraId="41558158">
            <w:r>
              <w:rPr>
                <w:lang w:val="pt-BR"/>
              </w:rPr>
              <w:t xml:space="preserve">Website: </w:t>
            </w:r>
            <w:r>
              <w:rPr>
                <w:lang w:val="pt-BR"/>
              </w:rPr>
              <w:fldChar w:fldCharType="begin"/>
            </w:r>
            <w:r>
              <w:rPr>
                <w:lang w:val="pt-BR"/>
              </w:rPr>
              <w:instrText xml:space="preserve"> HYPERLINK "http://www.tbs.go.tz" </w:instrText>
            </w:r>
            <w:r>
              <w:rPr>
                <w:lang w:val="pt-BR"/>
              </w:rPr>
              <w:fldChar w:fldCharType="separate"/>
            </w:r>
            <w:r>
              <w:rPr>
                <w:lang w:val="pt-BR"/>
              </w:rPr>
              <w:t>www.tbs.go.tz</w:t>
            </w:r>
            <w:r>
              <w:rPr>
                <w:lang w:val="pt-BR"/>
              </w:rPr>
              <w:fldChar w:fldCharType="end"/>
            </w:r>
          </w:p>
          <w:p w14:paraId="75529098">
            <w:pPr>
              <w:numPr>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 ],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Surface-active preparations, washing preparations, incl. auxiliary washing preparations and cleaning preparations (excl. those put up for retail sale, organic surface-active agents, soap and organic surface-active preparations in the form of bars, cakes, moulded pieces or shapes, and products and preparations for washing the skin in the form of liquid or cream) (HS code(s): 340290); Surface active agents (ICS code(s): 71.100.40)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452D001C">
            <w:pPr>
              <w:spacing w:before="120" w:after="120"/>
            </w:pPr>
            <w:r>
              <w:rPr>
                <w:b/>
              </w:rPr>
              <w:t>Title, number of pages and language(s) of the notified document:</w:t>
            </w:r>
            <w:r>
              <w:t xml:space="preserve"> DEAS 835-1: 2025, Bath preparations — Specification — Part 1: Synthetic detergent–based foam baths and shower gels, Third Edition; (12 page(s), in English)</w:t>
            </w:r>
            <w:bookmarkStart w:id="10" w:name="_GoBack"/>
            <w:bookmarkEnd w:id="10"/>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908B1CC">
            <w:pPr>
              <w:spacing w:before="120" w:after="120"/>
              <w:rPr>
                <w:b/>
              </w:rPr>
            </w:pPr>
            <w:r>
              <w:rPr>
                <w:b/>
              </w:rPr>
              <w:t>Description of content:</w:t>
            </w:r>
            <w:r>
              <w:t xml:space="preserve"> 1.1 This Draft East African Standard specifies the requirements, sampling and test methods for synthetic foam baths and shower gels.</w:t>
            </w:r>
          </w:p>
          <w:p w14:paraId="6D99AA09">
            <w:pPr>
              <w:spacing w:before="120" w:after="120"/>
            </w:pPr>
            <w:r>
              <w:t>1.2 This standard covers synthetic detergent-based foam baths (also referred to as cream baths), shower gels (also referred to as body wash, face wash, foot wash, cream wash, cream shower, bath shower, and shower shampoo), and other such related products.</w:t>
            </w:r>
          </w:p>
          <w:p w14:paraId="3B1D0DB0">
            <w:pPr>
              <w:spacing w:before="120" w:after="120"/>
            </w:pPr>
            <w:r>
              <w:t>1.3 This standard does not apply to bath salts, bath oils, bath powders, and soap-based bath and showerpro ducts.</w:t>
            </w:r>
          </w:p>
          <w:p w14:paraId="6698FCF3">
            <w:pPr>
              <w:spacing w:before="120" w:after="120"/>
            </w:pPr>
            <w:r>
              <w:t>1.4 This standard does not apply to medicinal products for which therapeutic claims are made.</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26E2A5A5">
            <w:pPr>
              <w:numPr>
                <w:ilvl w:val="0"/>
                <w:numId w:val="7"/>
              </w:numPr>
              <w:spacing w:before="120" w:after="120"/>
            </w:pPr>
            <w:r>
              <w:t>EAS 346, Labelling of cosmetics — General requirements</w:t>
            </w:r>
          </w:p>
          <w:p w14:paraId="5FF98514">
            <w:pPr>
              <w:numPr>
                <w:ilvl w:val="0"/>
                <w:numId w:val="7"/>
              </w:numPr>
              <w:spacing w:before="120" w:after="120"/>
            </w:pPr>
            <w:r>
              <w:t>EAS 377 (all parts), Cosmetics and cosmetic products</w:t>
            </w:r>
          </w:p>
          <w:p w14:paraId="02733DD1">
            <w:pPr>
              <w:numPr>
                <w:ilvl w:val="0"/>
                <w:numId w:val="7"/>
              </w:numPr>
              <w:spacing w:before="120" w:after="120"/>
            </w:pPr>
            <w:r>
              <w:t>EAS 846, Glossary of terms relating to the cosmetic industry</w:t>
            </w:r>
          </w:p>
          <w:p w14:paraId="1A171D78">
            <w:pPr>
              <w:numPr>
                <w:ilvl w:val="0"/>
                <w:numId w:val="7"/>
              </w:numPr>
              <w:spacing w:before="120" w:after="120"/>
            </w:pPr>
            <w:r>
              <w:t>EAS 847-16, Cosmetics — Analytical methods — Part 16: Determination of lead, mercury and arsenic content</w:t>
            </w:r>
          </w:p>
          <w:p w14:paraId="03D25453">
            <w:pPr>
              <w:numPr>
                <w:ilvl w:val="0"/>
                <w:numId w:val="7"/>
              </w:numPr>
              <w:spacing w:before="120" w:after="120"/>
            </w:pPr>
            <w:r>
              <w:t>EAS 847-17, Cosmetics — Analytical methods — Part 17: Determination of pH</w:t>
            </w:r>
          </w:p>
          <w:p w14:paraId="36F9A275">
            <w:pPr>
              <w:numPr>
                <w:ilvl w:val="0"/>
                <w:numId w:val="7"/>
              </w:numPr>
              <w:spacing w:before="120" w:after="120"/>
            </w:pPr>
            <w:r>
              <w:t>EAS 847-20, Cosmetics — Analytical methods — Part 20: Determination of lather volume (foaming power)</w:t>
            </w:r>
          </w:p>
          <w:p w14:paraId="21DA4616">
            <w:pPr>
              <w:numPr>
                <w:ilvl w:val="0"/>
                <w:numId w:val="7"/>
              </w:numPr>
              <w:spacing w:before="120" w:after="120"/>
            </w:pPr>
            <w:r>
              <w:t>ISO 2870, Surface active agents — Detergents — Determination of anionic-active matter, hydrolysable and</w:t>
            </w:r>
          </w:p>
          <w:p w14:paraId="4DBF7CD4">
            <w:pPr>
              <w:numPr>
                <w:ilvl w:val="0"/>
                <w:numId w:val="7"/>
              </w:numPr>
              <w:spacing w:before="120" w:after="120"/>
            </w:pPr>
            <w:r>
              <w:t>non-hydrolysable under acid conditions</w:t>
            </w:r>
          </w:p>
          <w:p w14:paraId="4624ABC1">
            <w:pPr>
              <w:numPr>
                <w:ilvl w:val="0"/>
                <w:numId w:val="7"/>
              </w:numPr>
              <w:spacing w:before="120" w:after="120"/>
            </w:pPr>
            <w:r>
              <w:t>ISO 2871-1, Surface active agents — Detergents — Determination of cationic-active matter content — Part 1: High-molecular mass cationic-active matter</w:t>
            </w:r>
          </w:p>
          <w:p w14:paraId="07DDE3AF">
            <w:pPr>
              <w:numPr>
                <w:ilvl w:val="0"/>
                <w:numId w:val="7"/>
              </w:numPr>
              <w:spacing w:before="120" w:after="120"/>
            </w:pPr>
            <w:r>
              <w:t>ISO 2871-2, Surface active agents — Detergents — Determination of cationic-active matter content — Part 2: Cationic-active matter of low molecular mass (between 200 and 500)</w:t>
            </w:r>
          </w:p>
          <w:p w14:paraId="66745882">
            <w:pPr>
              <w:numPr>
                <w:ilvl w:val="0"/>
                <w:numId w:val="7"/>
              </w:numPr>
              <w:spacing w:before="120" w:after="120"/>
            </w:pPr>
            <w:r>
              <w:t>ISO 18416, Cosmetics — Microbiology — Detection of Candida albicans</w:t>
            </w:r>
          </w:p>
          <w:p w14:paraId="18746C50">
            <w:pPr>
              <w:numPr>
                <w:ilvl w:val="0"/>
                <w:numId w:val="7"/>
              </w:numPr>
              <w:spacing w:before="120" w:after="120"/>
            </w:pPr>
            <w:r>
              <w:t>ISO 21149, Cosmetics — Microbiology — Enumeration and detection of aerobic mesophilic bacteria</w:t>
            </w:r>
          </w:p>
          <w:p w14:paraId="456C00EB">
            <w:pPr>
              <w:numPr>
                <w:ilvl w:val="0"/>
                <w:numId w:val="7"/>
              </w:numPr>
              <w:spacing w:before="120" w:after="120"/>
            </w:pPr>
            <w:r>
              <w:t>ISO 21150, Cosmetics — Microbiology — Detection of Escherichia coli</w:t>
            </w:r>
          </w:p>
          <w:p w14:paraId="5B6C18A0">
            <w:pPr>
              <w:numPr>
                <w:ilvl w:val="0"/>
                <w:numId w:val="7"/>
              </w:numPr>
              <w:spacing w:before="120" w:after="120"/>
            </w:pPr>
            <w:r>
              <w:t>ISO 22717, Cosmetics — Microbiology — Detection of Pseudomonas aeruginosa</w:t>
            </w:r>
          </w:p>
          <w:p w14:paraId="5CF9A97C">
            <w:pPr>
              <w:numPr>
                <w:ilvl w:val="0"/>
                <w:numId w:val="7"/>
              </w:numPr>
              <w:spacing w:before="120" w:after="120"/>
            </w:pPr>
            <w:r>
              <w:t>ISO 22718, Cosmetics — Microbiology — Detection of Staphylococcus aureus</w:t>
            </w:r>
          </w:p>
          <w:p w14:paraId="70E7E172">
            <w:pPr>
              <w:numPr>
                <w:ilvl w:val="0"/>
                <w:numId w:val="7"/>
              </w:numPr>
              <w:spacing w:before="120" w:after="120"/>
            </w:pPr>
            <w:r>
              <w:t>ISO 24153, Random sampling and randomisation procedures</w:t>
            </w:r>
          </w:p>
          <w:p w14:paraId="6802E603">
            <w:pPr>
              <w:numPr>
                <w:ilvl w:val="0"/>
                <w:numId w:val="7"/>
              </w:numPr>
              <w:spacing w:before="120" w:after="120"/>
              <w:ind w:left="720" w:leftChars="0" w:hanging="360" w:firstLineChars="0"/>
            </w:pPr>
            <w:r>
              <w:t>EAS 835-1: 2022, Bath preparations — Specification — Part 1: Synthetic detergent-based foam baths and shower gels</w:t>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 and notified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30 August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0691788">
            <w:r>
              <w:t>Contact person(s):</w:t>
            </w:r>
          </w:p>
          <w:p w14:paraId="1AB88085">
            <w:r>
              <w:t>Ms. Bahati Samillani (NEP officer) and Mr. Clavery Chausi</w:t>
            </w:r>
          </w:p>
          <w:p w14:paraId="33272610">
            <w:r>
              <w:t>Tanzania Bureau of Standards (TBS)</w:t>
            </w:r>
          </w:p>
          <w:p w14:paraId="7FEC130B">
            <w:pPr>
              <w:rPr>
                <w:lang w:val="pt-BR"/>
              </w:rPr>
            </w:pPr>
            <w:r>
              <w:rPr>
                <w:lang w:val="pt-BR"/>
              </w:rPr>
              <w:t>Morogoro/Sam Nujoma Road, Ubungo</w:t>
            </w:r>
          </w:p>
          <w:p w14:paraId="1EA38808">
            <w:pPr>
              <w:rPr>
                <w:lang w:val="pt-BR"/>
              </w:rPr>
            </w:pPr>
            <w:r>
              <w:rPr>
                <w:lang w:val="pt-BR"/>
              </w:rPr>
              <w:t>P O Box 9524</w:t>
            </w:r>
          </w:p>
          <w:p w14:paraId="02A65847">
            <w:pPr>
              <w:rPr>
                <w:lang w:val="pt-BR"/>
              </w:rPr>
            </w:pPr>
            <w:r>
              <w:rPr>
                <w:lang w:val="pt-BR"/>
              </w:rPr>
              <w:t>Dar Es Salaam</w:t>
            </w:r>
          </w:p>
          <w:p w14:paraId="42954634">
            <w:pPr>
              <w:rPr>
                <w:lang w:val="pt-BR"/>
              </w:rPr>
            </w:pPr>
            <w:r>
              <w:rPr>
                <w:lang w:val="pt-BR"/>
              </w:rPr>
              <w:t>Tel: +(255) 22 2450206</w:t>
            </w:r>
          </w:p>
          <w:p w14:paraId="73B30B63">
            <w:pPr>
              <w:rPr>
                <w:lang w:val="pt-BR"/>
              </w:rPr>
            </w:pPr>
            <w:r>
              <w:rPr>
                <w:lang w:val="pt-BR"/>
              </w:rPr>
              <w:t xml:space="preserve">Email: </w:t>
            </w:r>
            <w:r>
              <w:fldChar w:fldCharType="begin"/>
            </w:r>
            <w:r>
              <w:instrText xml:space="preserve"> HYPERLINK "mailto:nep@tbs.go.tz" </w:instrText>
            </w:r>
            <w:r>
              <w:fldChar w:fldCharType="separate"/>
            </w:r>
            <w:r>
              <w:rPr>
                <w:color w:val="0000FF"/>
                <w:u w:val="single"/>
                <w:lang w:val="pt-BR"/>
              </w:rPr>
              <w:t>nep@tbs.go.tz</w:t>
            </w:r>
            <w:r>
              <w:rPr>
                <w:color w:val="0000FF"/>
                <w:u w:val="single"/>
                <w:lang w:val="pt-BR"/>
              </w:rPr>
              <w:fldChar w:fldCharType="end"/>
            </w:r>
            <w:r>
              <w:rPr>
                <w:lang w:val="pt-BR"/>
              </w:rPr>
              <w:t xml:space="preserve">; </w:t>
            </w:r>
            <w:r>
              <w:fldChar w:fldCharType="begin"/>
            </w:r>
            <w:r>
              <w:instrText xml:space="preserve"> HYPERLINK "mailto:bahati.samillani@tbs.go.tz" </w:instrText>
            </w:r>
            <w:r>
              <w:fldChar w:fldCharType="separate"/>
            </w:r>
            <w:r>
              <w:rPr>
                <w:color w:val="0000FF"/>
                <w:u w:val="single"/>
                <w:lang w:val="pt-BR"/>
              </w:rPr>
              <w:t>bahati.samillani@tbs.go.tz</w:t>
            </w:r>
            <w:r>
              <w:rPr>
                <w:color w:val="0000FF"/>
                <w:u w:val="single"/>
                <w:lang w:val="pt-BR"/>
              </w:rPr>
              <w:fldChar w:fldCharType="end"/>
            </w:r>
          </w:p>
          <w:p w14:paraId="28D5C138">
            <w:pPr>
              <w:keepNext/>
              <w:keepLines/>
              <w:pBdr>
                <w:top w:val="none" w:color="auto" w:sz="0" w:space="4"/>
              </w:pBdr>
              <w:spacing w:after="120"/>
              <w:rPr>
                <w:color w:val="0000FF"/>
                <w:u w:val="single"/>
                <w:lang w:val="pt-BR"/>
              </w:rPr>
            </w:pPr>
            <w:r>
              <w:rPr>
                <w:lang w:val="pt-BR"/>
              </w:rPr>
              <w:t xml:space="preserve">Website: </w:t>
            </w:r>
            <w:r>
              <w:fldChar w:fldCharType="begin"/>
            </w:r>
            <w:r>
              <w:instrText xml:space="preserve"> HYPERLINK "http://www.tbs.go.tz" \t "_blank" </w:instrText>
            </w:r>
            <w:r>
              <w:fldChar w:fldCharType="separate"/>
            </w:r>
            <w:r>
              <w:rPr>
                <w:color w:val="0000FF"/>
                <w:u w:val="single"/>
                <w:lang w:val="pt-BR"/>
              </w:rPr>
              <w:t>http://www.tbs.go.tz</w:t>
            </w:r>
            <w:r>
              <w:rPr>
                <w:color w:val="0000FF"/>
                <w:u w:val="single"/>
                <w:lang w:val="pt-BR"/>
              </w:rPr>
              <w:fldChar w:fldCharType="end"/>
            </w:r>
          </w:p>
          <w:p w14:paraId="3125C991">
            <w:pPr>
              <w:spacing w:before="120" w:after="120"/>
            </w:pPr>
            <w:r>
              <w:rPr>
                <w:b/>
                <w:bCs/>
                <w:iCs/>
              </w:rPr>
              <w:t>Link to notified document(s) and/or contact details for agency or authority which can provide copies upon request:</w:t>
            </w:r>
            <w:r>
              <w:rPr>
                <w:iCs/>
              </w:rPr>
              <w:t xml:space="preserve"> </w:t>
            </w:r>
          </w:p>
          <w:p w14:paraId="76A768EF">
            <w:pPr>
              <w:keepNext/>
              <w:keepLines/>
              <w:pBdr>
                <w:top w:val="none" w:color="auto" w:sz="0" w:space="4"/>
              </w:pBdr>
              <w:spacing w:after="120"/>
              <w:rPr>
                <w:color w:val="0000FF"/>
                <w:u w:val="single"/>
                <w:lang w:val="pt-PT"/>
              </w:rPr>
            </w:pPr>
            <w:r>
              <w:fldChar w:fldCharType="begin"/>
            </w:r>
            <w:r>
              <w:instrText xml:space="preserve"> HYPERLINK "https://members.wto.org/crnattachments/2025/TBT/TZA/25_04244_00_e.pdf" \t "_blank" </w:instrText>
            </w:r>
            <w:r>
              <w:fldChar w:fldCharType="separate"/>
            </w:r>
            <w:r>
              <w:rPr>
                <w:iCs/>
                <w:color w:val="0000FF"/>
                <w:u w:val="single"/>
              </w:rPr>
              <w:t>https://members.wto.org/crnattachments/2025/TBT/TZA/25_04244_00_e.pdf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0" w:name="spsSymbolHeader"/>
    <w:r>
      <w:t>G/TBT/N/BDI/619, G/TBT/N/KEN/1819, G/TBT/N/RWA/1218, G/TBT/N/TZA/1360, G/TBT/N/UGA/2174</w:t>
    </w:r>
    <w:bookmarkEnd w:id="0"/>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1"/>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eastAsia" w:eastAsia="宋体"/>
              <w:b/>
              <w:szCs w:val="16"/>
              <w:lang w:eastAsia="zh-CN"/>
            </w:rPr>
          </w:pPr>
          <w:bookmarkStart w:id="2" w:name="bmkSymbols"/>
          <w:r>
            <w:rPr>
              <w:b/>
              <w:szCs w:val="16"/>
            </w:rPr>
            <w:t>G/TBT/N/BDI/6</w:t>
          </w:r>
          <w:r>
            <w:rPr>
              <w:rFonts w:hint="eastAsia" w:eastAsia="宋体"/>
              <w:b/>
              <w:szCs w:val="16"/>
              <w:lang w:val="en-US" w:eastAsia="zh-CN"/>
            </w:rPr>
            <w:t>20</w:t>
          </w:r>
          <w:r>
            <w:rPr>
              <w:b/>
              <w:szCs w:val="16"/>
            </w:rPr>
            <w:t>, G/TBT/N/KEN/18</w:t>
          </w:r>
          <w:r>
            <w:rPr>
              <w:rFonts w:hint="eastAsia" w:eastAsia="宋体"/>
              <w:b/>
              <w:szCs w:val="16"/>
              <w:lang w:val="en-US" w:eastAsia="zh-CN"/>
            </w:rPr>
            <w:t>20</w:t>
          </w:r>
          <w:r>
            <w:rPr>
              <w:b/>
              <w:szCs w:val="16"/>
            </w:rPr>
            <w:t>, G/TBT/N/RWA/121</w:t>
          </w:r>
          <w:r>
            <w:rPr>
              <w:rFonts w:hint="eastAsia" w:eastAsia="宋体"/>
              <w:b/>
              <w:szCs w:val="16"/>
              <w:lang w:val="en-US" w:eastAsia="zh-CN"/>
            </w:rPr>
            <w:t>9</w:t>
          </w:r>
          <w:r>
            <w:rPr>
              <w:b/>
              <w:szCs w:val="16"/>
            </w:rPr>
            <w:t>, G/TBT/N/TZA/136</w:t>
          </w:r>
          <w:r>
            <w:rPr>
              <w:rFonts w:hint="eastAsia" w:eastAsia="宋体"/>
              <w:b/>
              <w:szCs w:val="16"/>
              <w:lang w:val="en-US" w:eastAsia="zh-CN"/>
            </w:rPr>
            <w:t>1</w:t>
          </w:r>
          <w:r>
            <w:rPr>
              <w:b/>
              <w:szCs w:val="16"/>
            </w:rPr>
            <w:t>, G/TBT/N/UGA/217</w:t>
          </w:r>
          <w:bookmarkEnd w:id="2"/>
          <w:r>
            <w:rPr>
              <w:rFonts w:hint="eastAsia" w:eastAsia="宋体"/>
              <w:b/>
              <w:szCs w:val="16"/>
              <w:lang w:val="en-US" w:eastAsia="zh-CN"/>
            </w:rPr>
            <w:t>5</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3" w:name="bmkDate"/>
          <w:bookmarkStart w:id="4" w:name="spsDateDistribution"/>
          <w:r>
            <w:rPr>
              <w:szCs w:val="16"/>
            </w:rPr>
            <w:t>1 July 2025</w:t>
          </w:r>
          <w:bookmarkEnd w:id="3"/>
          <w:bookmarkEnd w:id="4"/>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5" w:name="bmkSerial"/>
          <w:r>
            <w:rPr>
              <w:b w:val="0"/>
              <w:color w:val="FF0000"/>
            </w:rPr>
            <w:t>(25-4</w:t>
          </w:r>
          <w:r>
            <w:rPr>
              <w:rFonts w:hint="eastAsia" w:eastAsia="宋体"/>
              <w:b w:val="0"/>
              <w:color w:val="FF0000"/>
              <w:lang w:val="en-US" w:eastAsia="zh-CN"/>
            </w:rPr>
            <w:t>235</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6"/>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DFC1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qFormat="1" w:uiPriority="99" w:name="index 3"/>
    <w:lsdException w:qFormat="1" w:uiPriority="99" w:name="index 4"/>
    <w:lsdException w:qFormat="1" w:uiPriority="99" w:name="index 5"/>
    <w:lsdException w:uiPriority="99" w:name="index 6"/>
    <w:lsdException w:uiPriority="99" w:name="index 7"/>
    <w:lsdException w:qFormat="1"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qFormat="1"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qFormat="1" w:uiPriority="99" w:name="Table Columns 4"/>
    <w:lsdException w:uiPriority="99" w:name="Table Columns 5"/>
    <w:lsdException w:uiPriority="99" w:name="Table Grid 1"/>
    <w:lsdException w:uiPriority="99" w:name="Table Grid 2"/>
    <w:lsdException w:qFormat="1"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qFormat="1" w:uiPriority="99" w:name="Table List 5"/>
    <w:lsdException w:qFormat="1" w:uiPriority="99" w:name="Table List 6"/>
    <w:lsdException w:qFormat="1" w:uiPriority="99" w:name="Table List 7"/>
    <w:lsdException w:qFormat="1"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unhideWhenUsed="0" w:uiPriority="60" w:semiHidden="0" w:name="Light Shading"/>
    <w:lsdException w:qFormat="1"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qFormat="1"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qFormat="1"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unhideWhenUsed="0" w:uiPriority="71" w:semiHidden="0" w:name="Colorful Shading Accent 4"/>
    <w:lsdException w:qFormat="1"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752</Words>
  <Characters>4367</Characters>
  <Lines>38</Lines>
  <Paragraphs>10</Paragraphs>
  <TotalTime>0</TotalTime>
  <ScaleCrop>false</ScaleCrop>
  <LinksUpToDate>false</LinksUpToDate>
  <CharactersWithSpaces>5058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2025-07-03T14:55:51Z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3CC2A9CF37E3420B8A9EA272AF224311_12</vt:lpwstr>
  </property>
</Properties>
</file>