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6032B0">
      <w:pPr>
        <w:pStyle w:val="84"/>
        <w:rPr>
          <w:caps w:val="0"/>
          <w:kern w:val="0"/>
        </w:rPr>
      </w:pPr>
      <w:r>
        <w:rPr>
          <w:caps w:val="0"/>
          <w:kern w:val="0"/>
        </w:rPr>
        <w:t>NOTIFICATION</w:t>
      </w:r>
    </w:p>
    <w:p w14:paraId="28858472">
      <w:pPr>
        <w:jc w:val="center"/>
      </w:pPr>
      <w:r>
        <w:t>The following notification is being circulated in accordance with Article 10.6</w:t>
      </w:r>
    </w:p>
    <w:p w14:paraId="2536E2A8"/>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32C42D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5A20752">
            <w:pPr>
              <w:spacing w:before="120" w:after="120"/>
              <w:jc w:val="left"/>
            </w:pPr>
            <w:r>
              <w:rPr>
                <w:b/>
              </w:rPr>
              <w:t>1.</w:t>
            </w:r>
          </w:p>
        </w:tc>
        <w:tc>
          <w:tcPr>
            <w:tcW w:w="8546" w:type="dxa"/>
            <w:tcBorders>
              <w:bottom w:val="single" w:color="auto" w:sz="6" w:space="0"/>
            </w:tcBorders>
            <w:shd w:val="clear" w:color="auto" w:fill="auto"/>
          </w:tcPr>
          <w:p w14:paraId="73FFA8C8">
            <w:pPr>
              <w:spacing w:before="120" w:after="120"/>
            </w:pPr>
            <w:r>
              <w:rPr>
                <w:b/>
              </w:rPr>
              <w:t>Notifying Member:</w:t>
            </w:r>
            <w:r>
              <w:t xml:space="preserve"> </w:t>
            </w:r>
            <w:r>
              <w:rPr>
                <w:u w:val="single"/>
              </w:rPr>
              <w:t>UNITED ARAB EMIRATES</w:t>
            </w:r>
          </w:p>
          <w:p w14:paraId="31FAF240">
            <w:pPr>
              <w:spacing w:after="120"/>
            </w:pPr>
            <w:r>
              <w:rPr>
                <w:b/>
              </w:rPr>
              <w:t>If applicable, name of local government involved (Article 3.2 and 7.2):</w:t>
            </w:r>
            <w:r>
              <w:t xml:space="preserve"> </w:t>
            </w:r>
          </w:p>
        </w:tc>
      </w:tr>
      <w:tr w14:paraId="0C88627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40BFCEE">
            <w:pPr>
              <w:spacing w:before="120" w:after="120"/>
              <w:jc w:val="left"/>
            </w:pPr>
            <w:r>
              <w:rPr>
                <w:b/>
              </w:rPr>
              <w:t>2.</w:t>
            </w:r>
          </w:p>
        </w:tc>
        <w:tc>
          <w:tcPr>
            <w:tcW w:w="8546" w:type="dxa"/>
            <w:tcBorders>
              <w:top w:val="single" w:color="auto" w:sz="6" w:space="0"/>
              <w:bottom w:val="single" w:color="auto" w:sz="6" w:space="0"/>
            </w:tcBorders>
            <w:shd w:val="clear" w:color="auto" w:fill="auto"/>
          </w:tcPr>
          <w:p w14:paraId="6AF3085C">
            <w:pPr>
              <w:spacing w:before="120" w:after="120"/>
            </w:pPr>
            <w:r>
              <w:rPr>
                <w:b/>
              </w:rPr>
              <w:t>Agency responsible:</w:t>
            </w:r>
            <w:r>
              <w:t xml:space="preserve"> </w:t>
            </w:r>
          </w:p>
          <w:p w14:paraId="0894905C">
            <w:pPr>
              <w:spacing w:after="120"/>
            </w:pPr>
            <w:r>
              <w:t>Ministry of Industry &amp; Advanced Technology (MOIAT)</w:t>
            </w:r>
          </w:p>
          <w:p w14:paraId="624502C6">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90C70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7361E5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23792EE">
            <w:pPr>
              <w:spacing w:before="120" w:after="120"/>
            </w:pPr>
            <w:r>
              <w:rPr>
                <w:b/>
              </w:rPr>
              <w:t>Notified under Article 2.9.2 [X], 2.10.1 [ ], 5.6.2 [X], 5.7.1 [ ], 3.2 [ ], 7.2 [ ], other:</w:t>
            </w:r>
            <w:r>
              <w:t xml:space="preserve"> </w:t>
            </w:r>
          </w:p>
        </w:tc>
      </w:tr>
      <w:tr w14:paraId="50D1DA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D3E255F">
            <w:pPr>
              <w:spacing w:before="120" w:after="120"/>
              <w:jc w:val="left"/>
            </w:pPr>
            <w:r>
              <w:rPr>
                <w:b/>
              </w:rPr>
              <w:t>4.</w:t>
            </w:r>
          </w:p>
        </w:tc>
        <w:tc>
          <w:tcPr>
            <w:tcW w:w="8546" w:type="dxa"/>
            <w:tcBorders>
              <w:top w:val="single" w:color="auto" w:sz="6" w:space="0"/>
              <w:bottom w:val="single" w:color="auto" w:sz="6" w:space="0"/>
            </w:tcBorders>
            <w:shd w:val="clear" w:color="auto" w:fill="auto"/>
          </w:tcPr>
          <w:p w14:paraId="542CAC11">
            <w:pPr>
              <w:spacing w:before="120" w:after="120"/>
            </w:pPr>
            <w:r>
              <w:rPr>
                <w:b/>
              </w:rPr>
              <w:t>Products covered (HS or CCCN where applicable, otherwise national tariff heading. ICS numbers may be provided in addition, where applicable):</w:t>
            </w:r>
            <w:r>
              <w:t xml:space="preserve"> Weigh-In-Motion (WIM) systems </w:t>
            </w:r>
          </w:p>
        </w:tc>
      </w:tr>
      <w:tr w14:paraId="7E8C902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DA7D2D6">
            <w:pPr>
              <w:spacing w:before="120" w:after="120"/>
              <w:jc w:val="left"/>
            </w:pPr>
            <w:r>
              <w:rPr>
                <w:b/>
              </w:rPr>
              <w:t>5.</w:t>
            </w:r>
          </w:p>
        </w:tc>
        <w:tc>
          <w:tcPr>
            <w:tcW w:w="8546" w:type="dxa"/>
            <w:tcBorders>
              <w:top w:val="single" w:color="auto" w:sz="6" w:space="0"/>
              <w:bottom w:val="single" w:color="auto" w:sz="6" w:space="0"/>
            </w:tcBorders>
            <w:shd w:val="clear" w:color="auto" w:fill="auto"/>
          </w:tcPr>
          <w:p w14:paraId="4A501D9B">
            <w:pPr>
              <w:spacing w:before="120" w:after="120"/>
            </w:pPr>
            <w:r>
              <w:rPr>
                <w:b/>
              </w:rPr>
              <w:t>Title, number of pages and language(s) of the notified document:</w:t>
            </w:r>
            <w:r>
              <w:t xml:space="preserve"> UAE Technical Regulations for Metrological Requirements for Automatic Vehicle Weighing Devices (As per OIML R134); (9 page(s), in Arabic)</w:t>
            </w:r>
          </w:p>
        </w:tc>
      </w:tr>
      <w:tr w14:paraId="3D74AA3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8442D9">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5B8D2E95">
            <w:pPr>
              <w:spacing w:before="100" w:after="100"/>
            </w:pPr>
            <w:r>
              <w:rPr>
                <w:b/>
              </w:rPr>
              <w:t>Description of content:</w:t>
            </w:r>
            <w:r>
              <w:t xml:space="preserve"> UAE Technical Regulations for Metrological Requirements for Automatic Vehicle Weighing Devices (As per OIML R134), to ensure reliable and accurate dynamic weighing of road vehicles. Compliance supports traffic enforcement and infrastructure protection, ensuring safety and fairness in vehicle weight regulation</w:t>
            </w:r>
          </w:p>
          <w:p w14:paraId="5240FD11">
            <w:pPr>
              <w:spacing w:before="100" w:after="100"/>
            </w:pPr>
            <w:r>
              <w:t>Summary of the regulation</w:t>
            </w:r>
          </w:p>
          <w:p w14:paraId="22396772">
            <w:pPr>
              <w:spacing w:before="100" w:after="100"/>
            </w:pPr>
            <w:r>
              <w:rPr>
                <w:b/>
                <w:bCs/>
              </w:rPr>
              <w:t>1. Scope</w:t>
            </w:r>
          </w:p>
          <w:p w14:paraId="0F4233F8">
            <w:pPr>
              <w:spacing w:before="100" w:after="100"/>
            </w:pPr>
            <w:r>
              <w:t>This Regulation specifies the metrological and technical requirements for Weigh-In-Motion (WIM) systems that measure:</w:t>
            </w:r>
          </w:p>
          <w:p w14:paraId="79D0635E">
            <w:pPr>
              <w:spacing w:before="100" w:after="100"/>
            </w:pPr>
            <w:r>
              <w:t>The total mass of road vehicles,</w:t>
            </w:r>
          </w:p>
          <w:p w14:paraId="4A8108C8">
            <w:pPr>
              <w:spacing w:before="100" w:after="100"/>
            </w:pPr>
            <w:r>
              <w:t>Axle loads, axle-group loads,</w:t>
            </w:r>
          </w:p>
          <w:p w14:paraId="533AAF68">
            <w:pPr>
              <w:spacing w:before="100" w:after="100"/>
            </w:pPr>
            <w:r>
              <w:t>And, optionally, individual wheel loads.</w:t>
            </w:r>
          </w:p>
          <w:p w14:paraId="0D67FEF4">
            <w:pPr>
              <w:spacing w:before="100" w:after="100"/>
            </w:pPr>
            <w:r>
              <w:t>It applies to automatic instruments that operate without the intervention of an operator during the weighing process.</w:t>
            </w:r>
          </w:p>
          <w:p w14:paraId="69AC85C5">
            <w:pPr>
              <w:spacing w:before="100" w:after="100"/>
            </w:pPr>
            <w:r>
              <w:rPr>
                <w:b/>
                <w:bCs/>
              </w:rPr>
              <w:t>2. Metrological Requirements</w:t>
            </w:r>
          </w:p>
          <w:p w14:paraId="1A94BA13">
            <w:pPr>
              <w:spacing w:before="100" w:after="100"/>
            </w:pPr>
            <w:r>
              <w:rPr>
                <w:b/>
                <w:bCs/>
              </w:rPr>
              <w:t>Accuracy Classes</w:t>
            </w:r>
          </w:p>
          <w:p w14:paraId="56B326C5">
            <w:pPr>
              <w:numPr>
                <w:ilvl w:val="0"/>
                <w:numId w:val="7"/>
              </w:numPr>
              <w:spacing w:before="100" w:after="100"/>
            </w:pPr>
            <w:r>
              <w:t>For total vehicle mass: Classes 0.2, 0.5, 1, 2, 5, and 10 (percentage of error).</w:t>
            </w:r>
          </w:p>
          <w:p w14:paraId="31E3326D">
            <w:pPr>
              <w:numPr>
                <w:ilvl w:val="0"/>
                <w:numId w:val="7"/>
              </w:numPr>
              <w:spacing w:before="100" w:after="100"/>
            </w:pPr>
            <w:r>
              <w:t>For axle load: Classes A(5), B(10), C(20), D(30), E(50), F(100) (number refers to % maximum permissible error).</w:t>
            </w:r>
          </w:p>
          <w:p w14:paraId="741257C9">
            <w:pPr>
              <w:spacing w:before="100" w:after="100"/>
              <w:rPr>
                <w:b/>
                <w:bCs/>
              </w:rPr>
            </w:pPr>
            <w:r>
              <w:rPr>
                <w:b/>
                <w:bCs/>
              </w:rPr>
              <w:t>Maximum Permissible Errors (MPEs)</w:t>
            </w:r>
          </w:p>
          <w:p w14:paraId="7EBEB233">
            <w:pPr>
              <w:numPr>
                <w:ilvl w:val="0"/>
                <w:numId w:val="8"/>
              </w:numPr>
              <w:spacing w:before="100" w:after="100"/>
            </w:pPr>
            <w:r>
              <w:t>Defined separately for initial verification and in-service inspection.</w:t>
            </w:r>
          </w:p>
          <w:p w14:paraId="74C75C37">
            <w:pPr>
              <w:numPr>
                <w:ilvl w:val="0"/>
                <w:numId w:val="8"/>
              </w:numPr>
              <w:spacing w:before="100" w:after="100"/>
            </w:pPr>
            <w:r>
              <w:t>MPEs depend on the class and the type of weighing (total mass vs. axle load).</w:t>
            </w:r>
          </w:p>
          <w:p w14:paraId="1F299667">
            <w:pPr>
              <w:spacing w:before="100" w:after="100"/>
              <w:rPr>
                <w:b/>
                <w:bCs/>
              </w:rPr>
            </w:pPr>
            <w:r>
              <w:rPr>
                <w:b/>
                <w:bCs/>
              </w:rPr>
              <w:t>Minimum Vehicle Speed and Length</w:t>
            </w:r>
          </w:p>
          <w:p w14:paraId="197BC0F7">
            <w:pPr>
              <w:numPr>
                <w:ilvl w:val="0"/>
                <w:numId w:val="9"/>
              </w:numPr>
              <w:spacing w:before="100" w:after="100"/>
            </w:pPr>
            <w:r>
              <w:t>The instrument shall operate within the specified speed range and minimum length for vehicles.</w:t>
            </w:r>
          </w:p>
          <w:p w14:paraId="3BA68B83">
            <w:pPr>
              <w:spacing w:before="100" w:after="100"/>
              <w:rPr>
                <w:b/>
                <w:bCs/>
              </w:rPr>
            </w:pPr>
            <w:r>
              <w:rPr>
                <w:b/>
                <w:bCs/>
              </w:rPr>
              <w:t>4. Technical Requirements</w:t>
            </w:r>
          </w:p>
          <w:p w14:paraId="7F42FAE0">
            <w:pPr>
              <w:spacing w:before="100" w:after="100"/>
            </w:pPr>
            <w:r>
              <w:rPr>
                <w:b/>
                <w:bCs/>
              </w:rPr>
              <w:t>General Design</w:t>
            </w:r>
          </w:p>
          <w:p w14:paraId="479F5EDB">
            <w:pPr>
              <w:numPr>
                <w:ilvl w:val="0"/>
                <w:numId w:val="10"/>
              </w:numPr>
              <w:spacing w:before="100" w:after="100"/>
            </w:pPr>
            <w:r>
              <w:t>The instrument must be designed for stable and repeatable performance.</w:t>
            </w:r>
          </w:p>
          <w:p w14:paraId="4806DE96">
            <w:pPr>
              <w:numPr>
                <w:ilvl w:val="0"/>
                <w:numId w:val="10"/>
              </w:numPr>
              <w:spacing w:before="100" w:after="100"/>
            </w:pPr>
            <w:r>
              <w:t>Must include means for zero-setting, tare (if applicable), and protection against manipulation.</w:t>
            </w:r>
          </w:p>
          <w:p w14:paraId="4A95F0F7">
            <w:pPr>
              <w:numPr>
                <w:ilvl w:val="0"/>
                <w:numId w:val="10"/>
              </w:numPr>
              <w:spacing w:before="100" w:after="100"/>
            </w:pPr>
            <w:r>
              <w:t>Display must show all required values clearly.</w:t>
            </w:r>
          </w:p>
          <w:p w14:paraId="754A10B7">
            <w:pPr>
              <w:numPr>
                <w:ilvl w:val="0"/>
                <w:numId w:val="10"/>
              </w:numPr>
              <w:spacing w:before="100" w:after="100"/>
            </w:pPr>
            <w:r>
              <w:t>Must provide printouts or storage for measured results, including date/time, vehicle ID (if available), and measurement results.</w:t>
            </w:r>
          </w:p>
          <w:p w14:paraId="35702648">
            <w:pPr>
              <w:spacing w:before="100" w:after="100"/>
            </w:pPr>
            <w:r>
              <w:rPr>
                <w:b/>
                <w:bCs/>
              </w:rPr>
              <w:t>5. Software and Data Integrity</w:t>
            </w:r>
          </w:p>
          <w:p w14:paraId="2A795DEB">
            <w:pPr>
              <w:numPr>
                <w:ilvl w:val="0"/>
                <w:numId w:val="11"/>
              </w:numPr>
              <w:spacing w:before="100" w:after="100"/>
            </w:pPr>
            <w:r>
              <w:t xml:space="preserve">Software must be </w:t>
            </w:r>
            <w:r>
              <w:rPr>
                <w:b/>
                <w:bCs/>
              </w:rPr>
              <w:t>secured against unauthorized access</w:t>
            </w:r>
            <w:r>
              <w:t xml:space="preserve"> or alterations.</w:t>
            </w:r>
          </w:p>
          <w:p w14:paraId="0D14B7F9">
            <w:pPr>
              <w:numPr>
                <w:ilvl w:val="0"/>
                <w:numId w:val="11"/>
              </w:numPr>
              <w:spacing w:before="100" w:after="100"/>
            </w:pPr>
            <w:r>
              <w:t xml:space="preserve">Any legally relevant data must be </w:t>
            </w:r>
            <w:r>
              <w:rPr>
                <w:b/>
                <w:bCs/>
              </w:rPr>
              <w:t>protected</w:t>
            </w:r>
            <w:r>
              <w:t>, traceable, and stored for a required duration.</w:t>
            </w:r>
          </w:p>
          <w:p w14:paraId="6EE27663">
            <w:pPr>
              <w:spacing w:before="100" w:after="100"/>
              <w:rPr>
                <w:b/>
                <w:bCs/>
              </w:rPr>
            </w:pPr>
            <w:r>
              <w:rPr>
                <w:b/>
                <w:bCs/>
              </w:rPr>
              <w:t>6. Markings and Documentation</w:t>
            </w:r>
          </w:p>
          <w:p w14:paraId="00E4B73E">
            <w:pPr>
              <w:numPr>
                <w:ilvl w:val="0"/>
                <w:numId w:val="12"/>
              </w:numPr>
              <w:spacing w:before="100" w:after="100"/>
            </w:pPr>
            <w:r>
              <w:t>The instrument must bear a nameplate including:</w:t>
            </w:r>
          </w:p>
          <w:p w14:paraId="615681FD">
            <w:pPr>
              <w:numPr>
                <w:ilvl w:val="1"/>
                <w:numId w:val="12"/>
              </w:numPr>
              <w:spacing w:before="100" w:after="100"/>
            </w:pPr>
            <w:r>
              <w:t>Manufacturer details</w:t>
            </w:r>
          </w:p>
          <w:p w14:paraId="4EC5B727">
            <w:pPr>
              <w:numPr>
                <w:ilvl w:val="1"/>
                <w:numId w:val="12"/>
              </w:numPr>
              <w:spacing w:before="100" w:after="100"/>
            </w:pPr>
            <w:r>
              <w:t>Instrument type and serial number</w:t>
            </w:r>
          </w:p>
          <w:p w14:paraId="12103C38">
            <w:pPr>
              <w:numPr>
                <w:ilvl w:val="1"/>
                <w:numId w:val="12"/>
              </w:numPr>
              <w:spacing w:before="100" w:after="100"/>
            </w:pPr>
            <w:r>
              <w:t>Accuracy class</w:t>
            </w:r>
          </w:p>
          <w:p w14:paraId="13E2FD26">
            <w:pPr>
              <w:numPr>
                <w:ilvl w:val="1"/>
                <w:numId w:val="12"/>
              </w:numPr>
              <w:spacing w:before="100" w:after="100"/>
            </w:pPr>
            <w:r>
              <w:t>CE/OIML marking (if applicable)</w:t>
            </w:r>
          </w:p>
          <w:p w14:paraId="06165541">
            <w:pPr>
              <w:numPr>
                <w:ilvl w:val="0"/>
                <w:numId w:val="12"/>
              </w:numPr>
              <w:spacing w:before="100" w:after="100"/>
            </w:pPr>
            <w:r>
              <w:t>A user manual must be provided with all relevant operational, calibration, and maintenance instructions.</w:t>
            </w:r>
          </w:p>
          <w:p w14:paraId="21D145CE">
            <w:pPr>
              <w:spacing w:before="100" w:after="100"/>
              <w:rPr>
                <w:b/>
                <w:bCs/>
              </w:rPr>
            </w:pPr>
            <w:r>
              <w:rPr>
                <w:b/>
                <w:bCs/>
              </w:rPr>
              <w:t>7. Tests for Conformity</w:t>
            </w:r>
          </w:p>
          <w:p w14:paraId="746FA33C">
            <w:pPr>
              <w:spacing w:before="100" w:after="100"/>
            </w:pPr>
            <w:r>
              <w:t xml:space="preserve">OIML R134 defines </w:t>
            </w:r>
            <w:r>
              <w:rPr>
                <w:b/>
                <w:bCs/>
              </w:rPr>
              <w:t>type approval and verification tests</w:t>
            </w:r>
            <w:r>
              <w:t>:</w:t>
            </w:r>
          </w:p>
          <w:p w14:paraId="79D625DC">
            <w:pPr>
              <w:numPr>
                <w:ilvl w:val="0"/>
                <w:numId w:val="13"/>
              </w:numPr>
              <w:spacing w:before="100" w:after="100"/>
            </w:pPr>
            <w:r>
              <w:t>Static and dynamic tests</w:t>
            </w:r>
          </w:p>
          <w:p w14:paraId="27776CDF">
            <w:pPr>
              <w:numPr>
                <w:ilvl w:val="0"/>
                <w:numId w:val="13"/>
              </w:numPr>
              <w:spacing w:before="100" w:after="100"/>
            </w:pPr>
            <w:r>
              <w:t>Performance under different speeds, vehicle types, and environmental conditions</w:t>
            </w:r>
          </w:p>
          <w:p w14:paraId="2B987BE8">
            <w:pPr>
              <w:numPr>
                <w:ilvl w:val="0"/>
                <w:numId w:val="13"/>
              </w:numPr>
              <w:spacing w:before="100" w:after="100"/>
            </w:pPr>
            <w:r>
              <w:t>Tests ensure conformity with MPEs and functional requirements</w:t>
            </w:r>
          </w:p>
          <w:p w14:paraId="13D64568">
            <w:pPr>
              <w:spacing w:before="100" w:after="100"/>
              <w:rPr>
                <w:b/>
                <w:bCs/>
              </w:rPr>
            </w:pPr>
            <w:r>
              <w:rPr>
                <w:b/>
                <w:bCs/>
              </w:rPr>
              <w:t>8. Installation and Use</w:t>
            </w:r>
          </w:p>
          <w:p w14:paraId="1E315D42">
            <w:pPr>
              <w:numPr>
                <w:ilvl w:val="0"/>
                <w:numId w:val="14"/>
              </w:numPr>
              <w:spacing w:before="100" w:after="100"/>
            </w:pPr>
            <w:r>
              <w:t>Proper installation is critical for accurate measurement.</w:t>
            </w:r>
          </w:p>
          <w:p w14:paraId="66D36279">
            <w:pPr>
              <w:numPr>
                <w:ilvl w:val="0"/>
                <w:numId w:val="14"/>
              </w:numPr>
              <w:spacing w:before="100" w:after="100"/>
            </w:pPr>
            <w:r>
              <w:t>Road surface, vehicle speed control, and traffic conditions must be considered.</w:t>
            </w:r>
          </w:p>
          <w:p w14:paraId="5675B052">
            <w:pPr>
              <w:numPr>
                <w:ilvl w:val="0"/>
                <w:numId w:val="14"/>
              </w:numPr>
              <w:spacing w:before="100" w:after="100"/>
            </w:pPr>
            <w:r>
              <w:t>Calibration procedures must be followed as specified.</w:t>
            </w:r>
          </w:p>
          <w:p w14:paraId="7BFA16FF">
            <w:pPr>
              <w:spacing w:before="100" w:after="100"/>
              <w:rPr>
                <w:b/>
                <w:bCs/>
              </w:rPr>
            </w:pPr>
            <w:r>
              <w:rPr>
                <w:b/>
                <w:bCs/>
              </w:rPr>
              <w:t>9. Maintenance and In-Service Inspection</w:t>
            </w:r>
          </w:p>
          <w:p w14:paraId="44513357">
            <w:pPr>
              <w:numPr>
                <w:ilvl w:val="0"/>
                <w:numId w:val="15"/>
              </w:numPr>
              <w:spacing w:before="100" w:after="100"/>
            </w:pPr>
            <w:r>
              <w:t>The instrument must be maintained and periodically checked to ensure ongoing compliance.</w:t>
            </w:r>
          </w:p>
          <w:p w14:paraId="12E4F6FF">
            <w:pPr>
              <w:spacing w:before="120" w:after="120"/>
              <w:rPr>
                <w:b/>
              </w:rPr>
            </w:pPr>
            <w:r>
              <w:t>MPEs for in-service are typically twice as much as those for initial verification.</w:t>
            </w:r>
          </w:p>
        </w:tc>
      </w:tr>
      <w:tr w14:paraId="7F28F7B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FB2A3B9">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433FBC56">
            <w:pPr>
              <w:spacing w:before="120" w:after="120"/>
              <w:rPr>
                <w:b/>
              </w:rPr>
            </w:pPr>
            <w:r>
              <w:rPr>
                <w:b/>
              </w:rPr>
              <w:t>Objective and rationale, including the nature of urgent problems where applicable:</w:t>
            </w:r>
            <w:r>
              <w:t xml:space="preserve"> Prevention of deceptive practices and consumer protection; Quality requirements; Harmonization; Cost saving and productivity enhancement</w:t>
            </w:r>
          </w:p>
        </w:tc>
      </w:tr>
      <w:tr w14:paraId="5C3EE1B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B35A4D">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389C38E1">
            <w:pPr>
              <w:spacing w:before="120" w:after="120"/>
              <w:rPr>
                <w:bCs/>
              </w:rPr>
            </w:pPr>
            <w:r>
              <w:rPr>
                <w:b/>
              </w:rPr>
              <w:t>Relevant documents:</w:t>
            </w:r>
            <w:r>
              <w:t xml:space="preserve"> OIML R134</w:t>
            </w:r>
          </w:p>
        </w:tc>
      </w:tr>
      <w:tr w14:paraId="643336C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365D204">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2436C78F">
            <w:pPr>
              <w:spacing w:before="120" w:after="120"/>
            </w:pPr>
            <w:r>
              <w:rPr>
                <w:b/>
              </w:rPr>
              <w:t>Proposed date of adoption:</w:t>
            </w:r>
            <w:r>
              <w:t xml:space="preserve"> To be determined</w:t>
            </w:r>
          </w:p>
          <w:p w14:paraId="64928633">
            <w:pPr>
              <w:spacing w:after="120"/>
            </w:pPr>
            <w:r>
              <w:rPr>
                <w:b/>
              </w:rPr>
              <w:t>Proposed date of entry into force:</w:t>
            </w:r>
            <w:r>
              <w:t xml:space="preserve"> To be determined</w:t>
            </w:r>
          </w:p>
        </w:tc>
      </w:tr>
      <w:tr w14:paraId="09C015A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BC971D9">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2CC02A7">
            <w:pPr>
              <w:spacing w:before="120" w:after="120"/>
              <w:rPr>
                <w:rFonts w:hint="eastAsia" w:eastAsia="宋体"/>
                <w:lang w:eastAsia="zh-CN"/>
              </w:rPr>
            </w:pPr>
            <w:r>
              <w:rPr>
                <w:b/>
              </w:rPr>
              <w:t>Final date for comments:</w:t>
            </w:r>
            <w:r>
              <w:t xml:space="preserve"> 30 August 2025</w:t>
            </w:r>
            <w:r>
              <w:rPr>
                <w:rFonts w:hint="eastAsia" w:eastAsia="宋体"/>
                <w:lang w:eastAsia="zh-CN"/>
              </w:rPr>
              <w:t>，</w:t>
            </w:r>
          </w:p>
          <w:p w14:paraId="1A21477C">
            <w:pPr>
              <w:spacing w:before="120" w:after="120"/>
              <w:rPr>
                <w:rFonts w:hint="eastAsia" w:eastAsia="宋体"/>
                <w:lang w:eastAsia="zh-CN"/>
              </w:rPr>
            </w:pPr>
            <w:bookmarkStart w:id="10" w:name="_GoBack"/>
            <w:bookmarkEnd w:id="10"/>
            <w:r>
              <w:rPr>
                <w:b/>
                <w:bCs/>
              </w:rPr>
              <w:t>[X] 60 days from notification</w:t>
            </w:r>
          </w:p>
        </w:tc>
      </w:tr>
      <w:tr w14:paraId="39CBCA6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90A49BB">
            <w:pPr>
              <w:keepNext/>
              <w:keepLines/>
              <w:spacing w:before="120" w:after="120"/>
              <w:jc w:val="left"/>
              <w:rPr>
                <w:b/>
              </w:rPr>
            </w:pPr>
            <w:r>
              <w:rPr>
                <w:b/>
              </w:rPr>
              <w:t>11.</w:t>
            </w:r>
          </w:p>
        </w:tc>
        <w:tc>
          <w:tcPr>
            <w:tcW w:w="8546" w:type="dxa"/>
            <w:tcBorders>
              <w:top w:val="single" w:color="auto" w:sz="6" w:space="0"/>
            </w:tcBorders>
            <w:shd w:val="clear" w:color="auto" w:fill="auto"/>
          </w:tcPr>
          <w:p w14:paraId="0ABB6407">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E0F3E09">
            <w:pPr>
              <w:keepNext/>
              <w:keepLines/>
              <w:pBdr>
                <w:top w:val="none" w:color="auto" w:sz="0" w:space="4"/>
              </w:pBdr>
              <w:spacing w:after="120"/>
              <w:rPr>
                <w:bCs/>
              </w:rPr>
            </w:pPr>
          </w:p>
          <w:p w14:paraId="5FE47D7F">
            <w:pPr>
              <w:spacing w:before="120" w:after="120"/>
            </w:pPr>
            <w:r>
              <w:rPr>
                <w:b/>
                <w:bCs/>
                <w:iCs/>
              </w:rPr>
              <w:t>Link to notified document(s) and/or contact details for agency or authority which can provide copies upon request:</w:t>
            </w:r>
            <w:r>
              <w:rPr>
                <w:iCs/>
              </w:rPr>
              <w:t xml:space="preserve"> </w:t>
            </w:r>
          </w:p>
          <w:p w14:paraId="5BAF5697">
            <w:pPr>
              <w:rPr>
                <w:iCs/>
              </w:rPr>
            </w:pPr>
            <w:r>
              <w:rPr>
                <w:iCs/>
              </w:rPr>
              <w:t>Ministry of Industry &amp; Advanced Technology (MOIAT)</w:t>
            </w:r>
          </w:p>
          <w:p w14:paraId="7099B672">
            <w:pPr>
              <w:rPr>
                <w:iCs/>
              </w:rPr>
            </w:pPr>
            <w:r>
              <w:rPr>
                <w:iCs/>
              </w:rPr>
              <w:t>P O Box: 2166</w:t>
            </w:r>
          </w:p>
          <w:p w14:paraId="53F91A37">
            <w:pPr>
              <w:rPr>
                <w:iCs/>
              </w:rPr>
            </w:pPr>
            <w:r>
              <w:rPr>
                <w:iCs/>
              </w:rPr>
              <w:t>Abu Dhabi</w:t>
            </w:r>
          </w:p>
          <w:p w14:paraId="166F91EA">
            <w:pPr>
              <w:rPr>
                <w:iCs/>
              </w:rPr>
            </w:pPr>
            <w:r>
              <w:rPr>
                <w:iCs/>
              </w:rPr>
              <w:t>United Arab Emirates</w:t>
            </w:r>
          </w:p>
          <w:p w14:paraId="513D80FE">
            <w:pPr>
              <w:rPr>
                <w:iCs/>
              </w:rPr>
            </w:pPr>
            <w:r>
              <w:rPr>
                <w:iCs/>
              </w:rPr>
              <w:t>Tel.: (+971) (4) 2084456</w:t>
            </w:r>
          </w:p>
          <w:p w14:paraId="3F8A78F3">
            <w:pPr>
              <w:rPr>
                <w:iCs/>
              </w:rPr>
            </w:pPr>
            <w:r>
              <w:rPr>
                <w:iCs/>
              </w:rPr>
              <w:t xml:space="preserve">Email: </w:t>
            </w:r>
            <w:r>
              <w:fldChar w:fldCharType="begin"/>
            </w:r>
            <w:r>
              <w:instrText xml:space="preserve"> HYPERLINK "mailto:uaetbt@moiat.gov.ae" </w:instrText>
            </w:r>
            <w:r>
              <w:fldChar w:fldCharType="separate"/>
            </w:r>
            <w:r>
              <w:rPr>
                <w:iCs/>
                <w:color w:val="0000FF"/>
                <w:u w:val="single"/>
              </w:rPr>
              <w:t>uaetbt@moiat.gov.ae</w:t>
            </w:r>
            <w:r>
              <w:rPr>
                <w:iCs/>
                <w:color w:val="0000FF"/>
                <w:u w:val="single"/>
              </w:rPr>
              <w:fldChar w:fldCharType="end"/>
            </w:r>
          </w:p>
          <w:p w14:paraId="75B19922">
            <w:pPr>
              <w:keepNext/>
              <w:keepLines/>
              <w:pBdr>
                <w:top w:val="none" w:color="auto" w:sz="0" w:space="4"/>
              </w:pBdr>
              <w:spacing w:after="120"/>
              <w:rPr>
                <w:bCs/>
              </w:rPr>
            </w:pPr>
            <w:r>
              <w:rPr>
                <w:iCs/>
              </w:rPr>
              <w:t xml:space="preserve">Website: </w:t>
            </w:r>
            <w:r>
              <w:fldChar w:fldCharType="begin"/>
            </w:r>
            <w:r>
              <w:instrText xml:space="preserve"> HYPERLINK "http://www.moiat.gov.ae" \t "_blank" </w:instrText>
            </w:r>
            <w:r>
              <w:fldChar w:fldCharType="separate"/>
            </w:r>
            <w:r>
              <w:rPr>
                <w:iCs/>
                <w:color w:val="0000FF"/>
                <w:u w:val="single"/>
              </w:rPr>
              <w:t>http://www.moiat.gov.ae</w:t>
            </w:r>
            <w:r>
              <w:rPr>
                <w:iCs/>
                <w:color w:val="0000FF"/>
                <w:u w:val="single"/>
              </w:rPr>
              <w:fldChar w:fldCharType="end"/>
            </w:r>
          </w:p>
        </w:tc>
      </w:tr>
    </w:tbl>
    <w:p w14:paraId="5A213AF8"/>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BB8C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12D2F">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A08EC">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27B87">
    <w:pPr>
      <w:pStyle w:val="58"/>
      <w:pBdr>
        <w:bottom w:val="single" w:color="auto" w:sz="4" w:space="1"/>
      </w:pBdr>
      <w:tabs>
        <w:tab w:val="clear" w:pos="4513"/>
        <w:tab w:val="clear" w:pos="9027"/>
      </w:tabs>
      <w:jc w:val="center"/>
    </w:pPr>
    <w:bookmarkStart w:id="0" w:name="spsSymbolHeader"/>
    <w:r>
      <w:t>G/TBT/N/ARE/660</w:t>
    </w:r>
    <w:bookmarkEnd w:id="0"/>
  </w:p>
  <w:p w14:paraId="1939D558">
    <w:pPr>
      <w:pStyle w:val="58"/>
      <w:pBdr>
        <w:bottom w:val="single" w:color="auto" w:sz="4" w:space="1"/>
      </w:pBdr>
      <w:tabs>
        <w:tab w:val="clear" w:pos="4513"/>
        <w:tab w:val="clear" w:pos="9027"/>
      </w:tabs>
      <w:jc w:val="center"/>
    </w:pPr>
  </w:p>
  <w:p w14:paraId="5ABA48A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78193D8">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5DC27">
    <w:pPr>
      <w:pStyle w:val="58"/>
      <w:pBdr>
        <w:bottom w:val="single" w:color="auto" w:sz="4" w:space="1"/>
      </w:pBdr>
      <w:tabs>
        <w:tab w:val="clear" w:pos="4513"/>
        <w:tab w:val="clear" w:pos="9027"/>
      </w:tabs>
      <w:jc w:val="center"/>
    </w:pPr>
    <w:r>
      <w:t>tbtSymbol</w:t>
    </w:r>
  </w:p>
  <w:p w14:paraId="7A5B6CED">
    <w:pPr>
      <w:pStyle w:val="58"/>
      <w:pBdr>
        <w:bottom w:val="single" w:color="auto" w:sz="4" w:space="1"/>
      </w:pBdr>
      <w:tabs>
        <w:tab w:val="clear" w:pos="4513"/>
        <w:tab w:val="clear" w:pos="9027"/>
      </w:tabs>
      <w:jc w:val="center"/>
    </w:pPr>
  </w:p>
  <w:p w14:paraId="206EB91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2C02822">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30AECF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BFD4AC8">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4F2AABBA">
          <w:pPr>
            <w:jc w:val="right"/>
            <w:rPr>
              <w:b/>
              <w:color w:val="FF0000"/>
              <w:szCs w:val="16"/>
            </w:rPr>
          </w:pPr>
        </w:p>
      </w:tc>
    </w:tr>
    <w:bookmarkEnd w:id="1"/>
    <w:tr w14:paraId="20AE5536">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30A262">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5D2525B">
          <w:pPr>
            <w:jc w:val="right"/>
            <w:rPr>
              <w:b/>
              <w:szCs w:val="16"/>
            </w:rPr>
          </w:pPr>
        </w:p>
      </w:tc>
    </w:tr>
    <w:tr w14:paraId="2B06F89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5B07BEAC">
          <w:pPr>
            <w:jc w:val="left"/>
            <w:rPr>
              <w:lang w:eastAsia="en-GB"/>
            </w:rPr>
          </w:pPr>
        </w:p>
      </w:tc>
      <w:tc>
        <w:tcPr>
          <w:tcW w:w="5448" w:type="dxa"/>
          <w:gridSpan w:val="2"/>
          <w:shd w:val="clear" w:color="auto" w:fill="FFFFFF"/>
          <w:tcMar>
            <w:left w:w="108" w:type="dxa"/>
            <w:right w:w="108" w:type="dxa"/>
          </w:tcMar>
        </w:tcPr>
        <w:p w14:paraId="532AC651">
          <w:pPr>
            <w:jc w:val="right"/>
            <w:rPr>
              <w:rFonts w:hint="eastAsia" w:eastAsia="宋体"/>
              <w:b/>
              <w:szCs w:val="16"/>
              <w:lang w:val="en-US" w:eastAsia="zh-CN"/>
            </w:rPr>
          </w:pPr>
          <w:bookmarkStart w:id="2" w:name="bmkSymbols"/>
          <w:r>
            <w:rPr>
              <w:b/>
              <w:szCs w:val="16"/>
            </w:rPr>
            <w:t>G/TBT/N/ARE/66</w:t>
          </w:r>
          <w:bookmarkEnd w:id="2"/>
          <w:r>
            <w:rPr>
              <w:rFonts w:hint="eastAsia" w:eastAsia="宋体"/>
              <w:b/>
              <w:szCs w:val="16"/>
              <w:lang w:val="en-US" w:eastAsia="zh-CN"/>
            </w:rPr>
            <w:t>2</w:t>
          </w:r>
        </w:p>
      </w:tc>
    </w:tr>
    <w:tr w14:paraId="7938B804">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457C0A5B"/>
      </w:tc>
      <w:tc>
        <w:tcPr>
          <w:tcW w:w="5448" w:type="dxa"/>
          <w:gridSpan w:val="2"/>
          <w:shd w:val="clear" w:color="auto" w:fill="FFFFFF"/>
          <w:tcMar>
            <w:left w:w="108" w:type="dxa"/>
            <w:right w:w="108" w:type="dxa"/>
          </w:tcMar>
          <w:vAlign w:val="center"/>
        </w:tcPr>
        <w:p w14:paraId="42A619CD">
          <w:pPr>
            <w:jc w:val="right"/>
            <w:rPr>
              <w:szCs w:val="16"/>
            </w:rPr>
          </w:pPr>
          <w:bookmarkStart w:id="3" w:name="spsDateDistribution"/>
          <w:bookmarkStart w:id="4" w:name="bmkDate"/>
          <w:r>
            <w:rPr>
              <w:szCs w:val="16"/>
            </w:rPr>
            <w:t>1 July 2025</w:t>
          </w:r>
          <w:bookmarkEnd w:id="3"/>
          <w:bookmarkEnd w:id="4"/>
        </w:p>
      </w:tc>
    </w:tr>
    <w:tr w14:paraId="7D6BBD3F">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0FF87CE6">
          <w:pPr>
            <w:jc w:val="left"/>
            <w:rPr>
              <w:b/>
            </w:rPr>
          </w:pPr>
          <w:bookmarkStart w:id="5" w:name="bmkSerial"/>
          <w:r>
            <w:rPr>
              <w:b w:val="0"/>
              <w:color w:val="FF0000"/>
            </w:rPr>
            <w:t>(25-</w:t>
          </w:r>
          <w:r>
            <w:rPr>
              <w:rFonts w:hint="eastAsia" w:eastAsia="宋体"/>
              <w:b w:val="0"/>
              <w:color w:val="FF0000"/>
              <w:lang w:val="en-US" w:eastAsia="zh-CN"/>
            </w:rPr>
            <w:t>4232</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4ADC3861">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749378BD">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29481C30">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4E6E327B">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588BE59E">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7">
    <w:nsid w:val="63D526BC"/>
    <w:multiLevelType w:val="multilevel"/>
    <w:tmpl w:val="63D526BC"/>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8">
    <w:nsid w:val="63D526BD"/>
    <w:multiLevelType w:val="multilevel"/>
    <w:tmpl w:val="63D526BD"/>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9">
    <w:nsid w:val="63D526BE"/>
    <w:multiLevelType w:val="multilevel"/>
    <w:tmpl w:val="63D526BE"/>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10">
    <w:nsid w:val="63D526BF"/>
    <w:multiLevelType w:val="multilevel"/>
    <w:tmpl w:val="63D526BF"/>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11">
    <w:nsid w:val="63D526C0"/>
    <w:multiLevelType w:val="multilevel"/>
    <w:tmpl w:val="63D526C0"/>
    <w:lvl w:ilvl="0" w:tentative="0">
      <w:start w:val="1"/>
      <w:numFmt w:val="bullet"/>
      <w:lvlText w:val=""/>
      <w:lvlJc w:val="left"/>
      <w:pPr>
        <w:ind w:left="720" w:hanging="360"/>
      </w:pPr>
      <w:rPr>
        <w:rFonts w:ascii="Symbol" w:hAnsi="Symbol"/>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12">
    <w:nsid w:val="63D526C1"/>
    <w:multiLevelType w:val="multilevel"/>
    <w:tmpl w:val="63D526C1"/>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13">
    <w:nsid w:val="63D526C2"/>
    <w:multiLevelType w:val="multilevel"/>
    <w:tmpl w:val="63D526C2"/>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14">
    <w:nsid w:val="63D526C3"/>
    <w:multiLevelType w:val="multilevel"/>
    <w:tmpl w:val="63D526C3"/>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627EA"/>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94982"/>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B55F3"/>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4DD4"/>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0EF7"/>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03FFD"/>
    <w:rsid w:val="00F263FA"/>
    <w:rsid w:val="00F32397"/>
    <w:rsid w:val="00F40595"/>
    <w:rsid w:val="00F650F7"/>
    <w:rsid w:val="00F85C99"/>
    <w:rsid w:val="00F85CDF"/>
    <w:rsid w:val="00F97AEE"/>
    <w:rsid w:val="00FA4811"/>
    <w:rsid w:val="00FA5EBC"/>
    <w:rsid w:val="00FB1B6E"/>
    <w:rsid w:val="00FC54BA"/>
    <w:rsid w:val="00FC5D0F"/>
    <w:rsid w:val="00FD224A"/>
    <w:rsid w:val="00FD4593"/>
    <w:rsid w:val="00FD58DA"/>
    <w:rsid w:val="00FE057A"/>
    <w:rsid w:val="00FE3ED0"/>
    <w:rsid w:val="00FE448B"/>
    <w:rsid w:val="00FF4616"/>
    <w:rsid w:val="00FF5C69"/>
    <w:rsid w:val="00FF7101"/>
    <w:rsid w:val="1A8E661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255F-50F6-44ED-B58E-01A3621C96BF}">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Pages>3</Pages>
  <Words>302</Words>
  <Characters>1848</Characters>
  <Lines>54</Lines>
  <Paragraphs>41</Paragraphs>
  <TotalTime>0</TotalTime>
  <ScaleCrop>false</ScaleCrop>
  <LinksUpToDate>false</LinksUpToDate>
  <CharactersWithSpaces>2114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2025-05-26T12:45:00Z</dcterms:created>
  <dc:description>LDIMD - DTU</dc:description>
  <dcterms:modified xsi:type="dcterms:W3CDTF">2025-07-03T14:49:43Z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384AC683E3374CFE8AEEDA3981C7EBE0_12</vt:lpwstr>
  </property>
</Properties>
</file>