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703141E" w14:textId="77777777">
      <w:pPr>
        <w:pStyle w:val="Title"/>
      </w:pPr>
      <w:r w:rsidRPr="002F663C">
        <w:t>NOTIFICATION</w:t>
      </w:r>
    </w:p>
    <w:p w:rsidR="002F663C" w:rsidRPr="002F663C" w:rsidP="00DD3DD7" w14:paraId="4C27A7FA" w14:textId="77777777">
      <w:pPr>
        <w:pStyle w:val="Title3"/>
      </w:pPr>
      <w:r w:rsidRPr="002F663C">
        <w:t>Addendum</w:t>
      </w:r>
    </w:p>
    <w:p w:rsidR="002F663C" w:rsidP="001E2E4A" w14:paraId="2863FD0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Viet Nam</w:t>
      </w:r>
      <w:r w:rsidRPr="002F663C">
        <w:rPr>
          <w:rFonts w:eastAsia="Calibri" w:cs="Times New Roman"/>
        </w:rPr>
        <w:t>.</w:t>
      </w:r>
    </w:p>
    <w:p w:rsidR="001E2E4A" w:rsidRPr="002F663C" w:rsidP="001E2E4A" w14:paraId="1EEE11BE" w14:textId="77777777">
      <w:pPr>
        <w:rPr>
          <w:rFonts w:eastAsia="Calibri" w:cs="Times New Roman"/>
        </w:rPr>
      </w:pPr>
    </w:p>
    <w:p w:rsidR="002F663C" w:rsidRPr="002F663C" w:rsidP="002F663C" w14:paraId="2E2B5B99" w14:textId="77777777">
      <w:pPr>
        <w:jc w:val="center"/>
        <w:rPr>
          <w:rFonts w:eastAsia="Calibri" w:cs="Times New Roman"/>
          <w:b/>
        </w:rPr>
      </w:pPr>
      <w:r w:rsidRPr="002F663C">
        <w:rPr>
          <w:rFonts w:eastAsia="Calibri" w:cs="Times New Roman"/>
          <w:b/>
        </w:rPr>
        <w:t>_______________</w:t>
      </w:r>
    </w:p>
    <w:p w:rsidR="002F663C" w:rsidP="002F663C" w14:paraId="5065D18D" w14:textId="77777777">
      <w:pPr>
        <w:rPr>
          <w:rFonts w:eastAsia="Calibri" w:cs="Times New Roman"/>
        </w:rPr>
      </w:pPr>
    </w:p>
    <w:p w:rsidR="00C14444" w:rsidRPr="002F663C" w:rsidP="002F663C" w14:paraId="6D24E74F" w14:textId="77777777">
      <w:pPr>
        <w:rPr>
          <w:rFonts w:eastAsia="Calibri" w:cs="Times New Roman"/>
        </w:rPr>
      </w:pPr>
    </w:p>
    <w:p w:rsidR="002F663C" w:rsidRPr="002F663C" w:rsidP="002F663C" w14:paraId="3BCAC0C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Decree amending Decree No 15/2018/NĐ-CP dated 02 February 2018 of Government </w:t>
      </w:r>
      <w:r w:rsidRPr="00022513">
        <w:rPr>
          <w:rFonts w:eastAsia="Calibri" w:cs="Times New Roman"/>
          <w:bCs/>
          <w:szCs w:val="18"/>
        </w:rPr>
        <w:t>detailing the implementation of a number of articles of the Food Safety Law</w:t>
      </w:r>
    </w:p>
    <w:p w:rsidR="002F663C" w:rsidRPr="002F663C" w:rsidP="002F663C" w14:paraId="6C526E8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C8BCA3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316721E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19005F7" w14:textId="77777777" w:rsidTr="00E9471B">
        <w:tblPrEx>
          <w:tblW w:w="9049" w:type="dxa"/>
          <w:tblLayout w:type="fixed"/>
          <w:tblLook w:val="04A0"/>
        </w:tblPrEx>
        <w:tc>
          <w:tcPr>
            <w:tcW w:w="851" w:type="dxa"/>
            <w:shd w:val="clear" w:color="auto" w:fill="auto"/>
          </w:tcPr>
          <w:p w:rsidR="002F663C" w:rsidRPr="00711F9C" w:rsidP="00C14444" w14:paraId="79D9AE7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F08040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401FFEC" w14:textId="77777777" w:rsidTr="00E9471B">
        <w:tblPrEx>
          <w:tblW w:w="9049" w:type="dxa"/>
          <w:tblLayout w:type="fixed"/>
          <w:tblLook w:val="04A0"/>
        </w:tblPrEx>
        <w:tc>
          <w:tcPr>
            <w:tcW w:w="851" w:type="dxa"/>
            <w:shd w:val="clear" w:color="auto" w:fill="auto"/>
          </w:tcPr>
          <w:p w:rsidR="002F663C" w:rsidRPr="00711F9C" w:rsidP="00C14444" w14:paraId="6D41CB1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01A177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C17ADCD" w14:textId="77777777" w:rsidTr="00E9471B">
        <w:tblPrEx>
          <w:tblW w:w="9049" w:type="dxa"/>
          <w:tblLayout w:type="fixed"/>
          <w:tblLook w:val="04A0"/>
        </w:tblPrEx>
        <w:tc>
          <w:tcPr>
            <w:tcW w:w="851" w:type="dxa"/>
            <w:shd w:val="clear" w:color="auto" w:fill="auto"/>
          </w:tcPr>
          <w:p w:rsidR="002F663C" w:rsidRPr="00711F9C" w:rsidP="00C14444" w14:paraId="6BC3F19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717835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F09CFA7" w14:textId="77777777" w:rsidTr="00E9471B">
        <w:tblPrEx>
          <w:tblW w:w="9049" w:type="dxa"/>
          <w:tblLayout w:type="fixed"/>
          <w:tblLook w:val="04A0"/>
        </w:tblPrEx>
        <w:tc>
          <w:tcPr>
            <w:tcW w:w="851" w:type="dxa"/>
            <w:shd w:val="clear" w:color="auto" w:fill="auto"/>
          </w:tcPr>
          <w:p w:rsidR="002F663C" w:rsidRPr="00711F9C" w:rsidP="00C14444" w14:paraId="7373669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D3395E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486E729" w14:textId="77777777" w:rsidTr="00E9471B">
        <w:tblPrEx>
          <w:tblW w:w="9049" w:type="dxa"/>
          <w:tblLayout w:type="fixed"/>
          <w:tblLook w:val="04A0"/>
        </w:tblPrEx>
        <w:tc>
          <w:tcPr>
            <w:tcW w:w="851" w:type="dxa"/>
            <w:shd w:val="clear" w:color="auto" w:fill="auto"/>
          </w:tcPr>
          <w:p w:rsidR="002F663C" w:rsidRPr="00711F9C" w:rsidP="00C14444" w14:paraId="266FF74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06D84A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3E2DF78" w14:textId="77777777" w:rsidTr="00E9471B">
        <w:tblPrEx>
          <w:tblW w:w="9049" w:type="dxa"/>
          <w:tblLayout w:type="fixed"/>
          <w:tblLook w:val="04A0"/>
        </w:tblPrEx>
        <w:tc>
          <w:tcPr>
            <w:tcW w:w="851" w:type="dxa"/>
            <w:shd w:val="clear" w:color="auto" w:fill="auto"/>
          </w:tcPr>
          <w:p w:rsidR="002F663C" w:rsidRPr="00711F9C" w:rsidP="00C14444" w14:paraId="765F10B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8105FC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737D49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E25979C" w14:textId="77777777" w:rsidTr="00E9471B">
        <w:tblPrEx>
          <w:tblW w:w="9049" w:type="dxa"/>
          <w:tblLayout w:type="fixed"/>
          <w:tblLook w:val="04A0"/>
        </w:tblPrEx>
        <w:tc>
          <w:tcPr>
            <w:tcW w:w="851" w:type="dxa"/>
            <w:shd w:val="clear" w:color="auto" w:fill="auto"/>
          </w:tcPr>
          <w:p w:rsidR="002F663C" w:rsidRPr="00711F9C" w:rsidP="00C14444" w14:paraId="11A3F72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A4D76F9"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8DA0632"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https://members.wto.org/crnattachments/2025/TBT/VNM/modification/25_04236_00_e.pdf</w:t>
              </w:r>
            </w:hyperlink>
          </w:p>
          <w:p w:rsidR="002F663C" w:rsidRPr="002F663C" w:rsidP="00C14444" w14:paraId="0F2CA0E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20 days from notification</w:t>
            </w:r>
          </w:p>
        </w:tc>
      </w:tr>
      <w:tr w14:paraId="11C621FD" w14:textId="77777777" w:rsidTr="00E9471B">
        <w:tblPrEx>
          <w:tblW w:w="9049" w:type="dxa"/>
          <w:tblLayout w:type="fixed"/>
          <w:tblLook w:val="04A0"/>
        </w:tblPrEx>
        <w:tc>
          <w:tcPr>
            <w:tcW w:w="851" w:type="dxa"/>
            <w:shd w:val="clear" w:color="auto" w:fill="auto"/>
          </w:tcPr>
          <w:p w:rsidR="002F663C" w:rsidRPr="00711F9C" w:rsidP="00C14444" w14:paraId="4335FF6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9941A6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26CF9E2"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912935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8AB65C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9BB2479" w14:textId="77777777">
      <w:pPr>
        <w:jc w:val="left"/>
        <w:rPr>
          <w:rFonts w:eastAsia="Calibri" w:cs="Times New Roman"/>
          <w:highlight w:val="yellow"/>
        </w:rPr>
      </w:pPr>
    </w:p>
    <w:p w:rsidR="003971FF" w:rsidRPr="007F6EA2" w:rsidP="00B16ACF" w14:paraId="4B7319D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TITLE: The Draft Decree Amending and supplementing several articles of Decree No. 15/2018/ND-CP dated February 02, 2018, of the Government detailing the implementation some articles of the Law on Food Safety (72 pages, in English). </w:t>
      </w:r>
    </w:p>
    <w:p w:rsidR="00852D59" w:rsidRPr="002F663C" w:rsidP="00B16ACF" w14:paraId="19B30574" w14:textId="77777777">
      <w:pPr>
        <w:spacing w:before="120" w:after="120"/>
        <w:rPr>
          <w:rFonts w:eastAsia="Calibri" w:cs="Times New Roman"/>
          <w:szCs w:val="18"/>
        </w:rPr>
      </w:pPr>
      <w:r w:rsidRPr="002F663C">
        <w:rPr>
          <w:rFonts w:eastAsia="Calibri" w:cs="Times New Roman"/>
          <w:szCs w:val="18"/>
        </w:rPr>
        <w:t>AGENCY:</w:t>
      </w:r>
    </w:p>
    <w:p w:rsidR="00852D59" w:rsidRPr="002F663C" w:rsidP="00B16ACF" w14:paraId="03E4FD66" w14:textId="77777777">
      <w:pPr>
        <w:spacing w:before="120" w:after="120"/>
        <w:rPr>
          <w:rFonts w:eastAsia="Calibri" w:cs="Times New Roman"/>
          <w:szCs w:val="18"/>
        </w:rPr>
      </w:pPr>
      <w:r w:rsidRPr="002F663C">
        <w:rPr>
          <w:rFonts w:eastAsia="Calibri" w:cs="Times New Roman"/>
          <w:szCs w:val="18"/>
        </w:rPr>
        <w:t>Vietnam Food Administration, Ministry of Health.</w:t>
      </w:r>
    </w:p>
    <w:p w:rsidR="00852D59" w:rsidRPr="002F663C" w:rsidP="00B16ACF" w14:paraId="02D9E5C2" w14:textId="77777777">
      <w:pPr>
        <w:spacing w:before="120" w:after="120"/>
        <w:rPr>
          <w:rFonts w:eastAsia="Calibri" w:cs="Times New Roman"/>
          <w:szCs w:val="18"/>
        </w:rPr>
      </w:pPr>
      <w:r w:rsidRPr="002F663C">
        <w:rPr>
          <w:rFonts w:eastAsia="Calibri" w:cs="Times New Roman"/>
          <w:szCs w:val="18"/>
        </w:rPr>
        <w:t>Add: 138A Giang Vo, Ba Dinh District, Hanoi, Viet Nam.</w:t>
      </w:r>
    </w:p>
    <w:p w:rsidR="00852D59" w:rsidRPr="002F663C" w:rsidP="00B16ACF" w14:paraId="7C5003B0" w14:textId="77777777">
      <w:pPr>
        <w:spacing w:before="120" w:after="120"/>
        <w:rPr>
          <w:rFonts w:eastAsia="Calibri" w:cs="Times New Roman"/>
          <w:szCs w:val="18"/>
        </w:rPr>
      </w:pPr>
      <w:r w:rsidRPr="002F663C">
        <w:rPr>
          <w:rFonts w:eastAsia="Calibri" w:cs="Times New Roman"/>
          <w:szCs w:val="18"/>
        </w:rPr>
        <w:t>Tel: +(84-4) 3846 4489 / +(84-4) 3846 3702</w:t>
      </w:r>
    </w:p>
    <w:p w:rsidR="00852D59" w:rsidRPr="002F663C" w:rsidP="00B16ACF" w14:paraId="24AA6A55" w14:textId="77777777">
      <w:pPr>
        <w:spacing w:before="120" w:after="120"/>
        <w:rPr>
          <w:rFonts w:eastAsia="Calibri" w:cs="Times New Roman"/>
          <w:szCs w:val="18"/>
        </w:rPr>
      </w:pPr>
      <w:r w:rsidRPr="002F663C">
        <w:rPr>
          <w:rFonts w:eastAsia="Calibri" w:cs="Times New Roman"/>
          <w:szCs w:val="18"/>
        </w:rPr>
        <w:t>Fax: +(84-4) 3846 3739</w:t>
      </w:r>
    </w:p>
    <w:p w:rsidR="00852D59" w:rsidRPr="002F663C" w:rsidP="00B16ACF" w14:paraId="38BDFEF2" w14:textId="77777777">
      <w:pPr>
        <w:spacing w:before="120" w:after="120"/>
        <w:rPr>
          <w:rFonts w:eastAsia="Calibri" w:cs="Times New Roman"/>
          <w:szCs w:val="18"/>
        </w:rPr>
      </w:pPr>
      <w:r w:rsidRPr="002F663C">
        <w:rPr>
          <w:rFonts w:eastAsia="Calibri" w:cs="Times New Roman"/>
          <w:szCs w:val="18"/>
        </w:rPr>
        <w:t xml:space="preserve">Email: </w:t>
      </w:r>
      <w:hyperlink r:id="rId7" w:history="1">
        <w:r w:rsidRPr="002F663C">
          <w:rPr>
            <w:rFonts w:eastAsia="Calibri" w:cs="Times New Roman"/>
            <w:color w:val="0000FF"/>
            <w:szCs w:val="18"/>
            <w:u w:val="single"/>
          </w:rPr>
          <w:t>qlsp.attp@moh.gov.vn</w:t>
        </w:r>
      </w:hyperlink>
    </w:p>
    <w:p w:rsidR="00852D59" w:rsidRPr="002F663C" w:rsidP="00B16ACF" w14:paraId="6BEA4900" w14:textId="77777777">
      <w:pPr>
        <w:spacing w:before="120" w:after="120"/>
        <w:rPr>
          <w:rFonts w:eastAsia="Calibri" w:cs="Times New Roman"/>
          <w:szCs w:val="18"/>
        </w:rPr>
      </w:pPr>
      <w:r w:rsidRPr="002F663C">
        <w:rPr>
          <w:rFonts w:eastAsia="Calibri" w:cs="Times New Roman"/>
          <w:szCs w:val="18"/>
        </w:rPr>
        <w:t>SUMMARY: The draft Decree amending Decree No 15/2018/NĐ-CP dated 02 February 2018 of Government, which details the implementation of certain provisions of the Food Safety Law, was notified to WTO under the document G/TBT/N/VNM/339. The updates focus on two main areas:</w:t>
      </w:r>
    </w:p>
    <w:p w:rsidR="00852D59" w:rsidRPr="002F663C" w:rsidP="00B16ACF" w14:paraId="15FF82F5" w14:textId="77777777">
      <w:pPr>
        <w:spacing w:before="120" w:after="120"/>
        <w:rPr>
          <w:rFonts w:eastAsia="Calibri" w:cs="Times New Roman"/>
          <w:szCs w:val="18"/>
        </w:rPr>
      </w:pPr>
      <w:r w:rsidRPr="002F663C">
        <w:rPr>
          <w:rFonts w:eastAsia="Calibri" w:cs="Times New Roman"/>
          <w:szCs w:val="18"/>
        </w:rPr>
        <w:t>The updates focus on:</w:t>
      </w:r>
    </w:p>
    <w:p w:rsidR="00852D59" w:rsidRPr="002F663C" w:rsidP="00B16ACF" w14:paraId="064FB185" w14:textId="77777777">
      <w:pPr>
        <w:spacing w:before="120" w:after="120"/>
        <w:rPr>
          <w:rFonts w:eastAsia="Calibri" w:cs="Times New Roman"/>
          <w:szCs w:val="18"/>
        </w:rPr>
      </w:pPr>
      <w:r w:rsidRPr="002F663C">
        <w:rPr>
          <w:rFonts w:eastAsia="Calibri" w:cs="Times New Roman"/>
          <w:szCs w:val="18"/>
        </w:rPr>
        <w:t>1. The contents related to Administrative Procedure Reform as mandated by the Government:</w:t>
      </w:r>
    </w:p>
    <w:p w:rsidR="00852D59" w:rsidRPr="002F663C" w:rsidP="00B16ACF" w14:paraId="3A59FDDA" w14:textId="77777777">
      <w:pPr>
        <w:spacing w:before="120" w:after="120"/>
        <w:rPr>
          <w:rFonts w:eastAsia="Calibri" w:cs="Times New Roman"/>
          <w:szCs w:val="18"/>
        </w:rPr>
      </w:pPr>
      <w:r w:rsidRPr="002F663C">
        <w:rPr>
          <w:rFonts w:eastAsia="Calibri" w:cs="Times New Roman"/>
          <w:szCs w:val="18"/>
        </w:rPr>
        <w:t>a) Remove certain cases from state inspection requirements for imported food safety (Products already granted a Certificate of Product Declaration Registration; imported products and ingredients used solely for internal production).</w:t>
      </w:r>
    </w:p>
    <w:p w:rsidR="00852D59" w:rsidRPr="002F663C" w:rsidP="00B16ACF" w14:paraId="296C796D" w14:textId="77777777">
      <w:pPr>
        <w:spacing w:before="120" w:after="120"/>
        <w:rPr>
          <w:rFonts w:eastAsia="Calibri" w:cs="Times New Roman"/>
          <w:szCs w:val="18"/>
        </w:rPr>
      </w:pPr>
      <w:r w:rsidRPr="002F663C">
        <w:rPr>
          <w:rFonts w:eastAsia="Calibri" w:cs="Times New Roman"/>
          <w:szCs w:val="18"/>
        </w:rPr>
        <w:t>b) Reduce and simplify certain administrative procedures and requirements for designating food testing laboratories:</w:t>
      </w:r>
    </w:p>
    <w:p w:rsidR="00852D59" w:rsidRPr="002F663C" w:rsidP="00B16ACF" w14:paraId="417B0D49" w14:textId="77777777">
      <w:pPr>
        <w:spacing w:before="120" w:after="120"/>
        <w:rPr>
          <w:rFonts w:eastAsia="Calibri" w:cs="Times New Roman"/>
          <w:szCs w:val="18"/>
        </w:rPr>
      </w:pPr>
      <w:r w:rsidRPr="002F663C">
        <w:rPr>
          <w:rFonts w:eastAsia="Calibri" w:cs="Times New Roman"/>
          <w:szCs w:val="18"/>
        </w:rPr>
        <w:t>+ Simplify the requirement to submit a business registration certificate aligned with the product type in dossiers for certifying food safety-eligible establishments.</w:t>
      </w:r>
    </w:p>
    <w:p w:rsidR="00852D59" w:rsidRPr="002F663C" w:rsidP="00B16ACF" w14:paraId="28B97653" w14:textId="77777777">
      <w:pPr>
        <w:spacing w:before="120" w:after="120"/>
        <w:rPr>
          <w:rFonts w:eastAsia="Calibri" w:cs="Times New Roman"/>
          <w:szCs w:val="18"/>
        </w:rPr>
      </w:pPr>
      <w:r w:rsidRPr="002F663C">
        <w:rPr>
          <w:rFonts w:eastAsia="Calibri" w:cs="Times New Roman"/>
          <w:szCs w:val="18"/>
        </w:rPr>
        <w:t>+ Abolish one procedure regarding exemption from regular monitoring of testing facilities.</w:t>
      </w:r>
    </w:p>
    <w:p w:rsidR="00852D59" w:rsidRPr="002F663C" w:rsidP="00B16ACF" w14:paraId="6DFD0898" w14:textId="77777777">
      <w:pPr>
        <w:spacing w:before="120" w:after="120"/>
        <w:rPr>
          <w:rFonts w:eastAsia="Calibri" w:cs="Times New Roman"/>
          <w:szCs w:val="18"/>
        </w:rPr>
      </w:pPr>
      <w:r w:rsidRPr="002F663C">
        <w:rPr>
          <w:rFonts w:eastAsia="Calibri" w:cs="Times New Roman"/>
          <w:szCs w:val="18"/>
        </w:rPr>
        <w:t>+ Cut down and simplify 4 of 9 documents required in the dossier for testing facility designation serving state management: 1. Establishment decision or business registration certificate; 2. List and profile of main equipment and infrastructure (aligned with the capacity report); 3. List and profile of testing personnel with certified copies of relevant qualifications; 4. Testing results for the registered field in the last 12 months.</w:t>
      </w:r>
    </w:p>
    <w:p w:rsidR="00852D59" w:rsidRPr="002F663C" w:rsidP="00B16ACF" w14:paraId="1F3FA323" w14:textId="77777777">
      <w:pPr>
        <w:spacing w:before="120" w:after="120"/>
        <w:rPr>
          <w:rFonts w:eastAsia="Calibri" w:cs="Times New Roman"/>
          <w:szCs w:val="18"/>
        </w:rPr>
      </w:pPr>
      <w:r w:rsidRPr="002F663C">
        <w:rPr>
          <w:rFonts w:eastAsia="Calibri" w:cs="Times New Roman"/>
          <w:szCs w:val="18"/>
        </w:rPr>
        <w:t xml:space="preserve">c) Ministries (Health, Agriculture &amp; Environment, Industry &amp; Trade, and Finance) and </w:t>
      </w:r>
      <w:r w:rsidRPr="002F663C">
        <w:rPr>
          <w:rFonts w:eastAsia="Calibri" w:cs="Times New Roman"/>
          <w:szCs w:val="18"/>
        </w:rPr>
        <w:t>Provincial People's Committees are responsible for developing online public service systems to process administrative procedures and manage food safety consistently from central to local levels, ensuring data sharing with the National Public Service Portal.</w:t>
      </w:r>
    </w:p>
    <w:p w:rsidR="00852D59" w:rsidRPr="002F663C" w:rsidP="00B16ACF" w14:paraId="67622930" w14:textId="77777777">
      <w:pPr>
        <w:spacing w:before="120" w:after="120"/>
        <w:rPr>
          <w:rFonts w:eastAsia="Calibri" w:cs="Times New Roman"/>
          <w:szCs w:val="18"/>
        </w:rPr>
      </w:pPr>
      <w:r w:rsidRPr="002F663C">
        <w:rPr>
          <w:rFonts w:eastAsia="Calibri" w:cs="Times New Roman"/>
          <w:szCs w:val="18"/>
        </w:rPr>
        <w:t>2. The contents related to other amendments and supplements:</w:t>
      </w:r>
    </w:p>
    <w:p w:rsidR="00852D59" w:rsidRPr="002F663C" w:rsidP="00B16ACF" w14:paraId="3BD30E79" w14:textId="77777777">
      <w:pPr>
        <w:spacing w:before="120" w:after="120"/>
        <w:rPr>
          <w:rFonts w:eastAsia="Calibri" w:cs="Times New Roman"/>
          <w:szCs w:val="18"/>
        </w:rPr>
      </w:pPr>
      <w:r w:rsidRPr="002F663C">
        <w:rPr>
          <w:rFonts w:eastAsia="Calibri" w:cs="Times New Roman"/>
          <w:szCs w:val="18"/>
        </w:rPr>
        <w:t>Supplementing regulations to enhance food safety management and increase accountability among ministries, agencies, organizations, and individuals in ensuring food safety and performing administrative procedures:</w:t>
      </w:r>
    </w:p>
    <w:p w:rsidR="00852D59" w:rsidRPr="002F663C" w:rsidP="00B16ACF" w14:paraId="2ADF1159" w14:textId="77777777">
      <w:pPr>
        <w:spacing w:before="120" w:after="120"/>
        <w:rPr>
          <w:rFonts w:eastAsia="Calibri" w:cs="Times New Roman"/>
          <w:szCs w:val="18"/>
        </w:rPr>
      </w:pPr>
      <w:r w:rsidRPr="002F663C">
        <w:rPr>
          <w:rFonts w:eastAsia="Calibri" w:cs="Times New Roman"/>
          <w:szCs w:val="18"/>
        </w:rPr>
        <w:t>- Strengthen management of self-declared products.</w:t>
      </w:r>
    </w:p>
    <w:p w:rsidR="00852D59" w:rsidRPr="002F663C" w:rsidP="00B16ACF" w14:paraId="4AA9518F" w14:textId="77777777">
      <w:pPr>
        <w:spacing w:before="120" w:after="120"/>
        <w:rPr>
          <w:rFonts w:eastAsia="Calibri" w:cs="Times New Roman"/>
          <w:szCs w:val="18"/>
        </w:rPr>
      </w:pPr>
      <w:r w:rsidRPr="002F663C">
        <w:rPr>
          <w:rFonts w:eastAsia="Calibri" w:cs="Times New Roman"/>
          <w:szCs w:val="18"/>
        </w:rPr>
        <w:t>- Enhance oversight of product registration declarations.</w:t>
      </w:r>
    </w:p>
    <w:p w:rsidR="00852D59" w:rsidRPr="002F663C" w:rsidP="00B16ACF" w14:paraId="5CAAA6B3" w14:textId="77777777">
      <w:pPr>
        <w:spacing w:before="120" w:after="120"/>
        <w:rPr>
          <w:rFonts w:eastAsia="Calibri" w:cs="Times New Roman"/>
          <w:szCs w:val="18"/>
        </w:rPr>
      </w:pPr>
      <w:r w:rsidRPr="002F663C">
        <w:rPr>
          <w:rFonts w:eastAsia="Calibri" w:cs="Times New Roman"/>
          <w:szCs w:val="18"/>
        </w:rPr>
        <w:t>- Improve standards for facilities producing medical nutrition foods, foods for special dietary use, nutritional products for children under 36 months, and food supplements.</w:t>
      </w:r>
    </w:p>
    <w:p w:rsidR="00852D59" w:rsidRPr="002F663C" w:rsidP="00B16ACF" w14:paraId="19CA135F" w14:textId="77777777">
      <w:pPr>
        <w:spacing w:before="120" w:after="120"/>
        <w:rPr>
          <w:rFonts w:eastAsia="Calibri" w:cs="Times New Roman"/>
          <w:szCs w:val="18"/>
        </w:rPr>
      </w:pPr>
      <w:r w:rsidRPr="002F663C">
        <w:rPr>
          <w:rFonts w:eastAsia="Calibri" w:cs="Times New Roman"/>
          <w:szCs w:val="18"/>
        </w:rPr>
        <w:t>- Supplementing post-marketing surveillance regulations based on U.S. standards.</w:t>
      </w:r>
    </w:p>
    <w:p w:rsidR="00852D59" w:rsidRPr="002F663C" w:rsidP="00B16ACF" w14:paraId="7855DE07" w14:textId="77777777">
      <w:pPr>
        <w:spacing w:before="120" w:after="120"/>
        <w:rPr>
          <w:rFonts w:eastAsia="Calibri" w:cs="Times New Roman"/>
          <w:szCs w:val="18"/>
        </w:rPr>
      </w:pPr>
      <w:r w:rsidRPr="002F663C">
        <w:rPr>
          <w:rFonts w:eastAsia="Calibri" w:cs="Times New Roman"/>
          <w:szCs w:val="18"/>
        </w:rPr>
        <w:t>- Enforce stricter food safety law compliance by:</w:t>
      </w:r>
    </w:p>
    <w:p w:rsidR="00852D59" w:rsidRPr="002F663C" w:rsidP="00B16ACF" w14:paraId="1133AD6E" w14:textId="77777777">
      <w:pPr>
        <w:spacing w:before="120" w:after="120"/>
        <w:rPr>
          <w:rFonts w:eastAsia="Calibri" w:cs="Times New Roman"/>
          <w:szCs w:val="18"/>
        </w:rPr>
      </w:pPr>
      <w:r w:rsidRPr="002F663C">
        <w:rPr>
          <w:rFonts w:eastAsia="Calibri" w:cs="Times New Roman"/>
          <w:szCs w:val="18"/>
        </w:rPr>
        <w:t>- Revoking administrative procedure outcomes,</w:t>
      </w:r>
    </w:p>
    <w:p w:rsidR="00852D59" w:rsidRPr="002F663C" w:rsidP="00B16ACF" w14:paraId="0691043F" w14:textId="77777777">
      <w:pPr>
        <w:spacing w:before="120" w:after="120"/>
        <w:rPr>
          <w:rFonts w:eastAsia="Calibri" w:cs="Times New Roman"/>
          <w:szCs w:val="18"/>
        </w:rPr>
      </w:pPr>
      <w:r w:rsidRPr="002F663C">
        <w:rPr>
          <w:rFonts w:eastAsia="Calibri" w:cs="Times New Roman"/>
          <w:szCs w:val="18"/>
        </w:rPr>
        <w:t>- Suspending receipt and processing of product declaration dossiers in case of violations.</w:t>
      </w:r>
    </w:p>
    <w:p w:rsidR="00852D59" w:rsidRPr="002F663C" w:rsidP="00B16ACF" w14:paraId="045C899B" w14:textId="77777777">
      <w:pPr>
        <w:spacing w:before="120" w:after="120"/>
        <w:rPr>
          <w:rFonts w:eastAsia="Calibri" w:cs="Times New Roman"/>
          <w:szCs w:val="18"/>
        </w:rPr>
      </w:pPr>
      <w:r w:rsidRPr="002F663C">
        <w:rPr>
          <w:rFonts w:eastAsia="Calibri" w:cs="Times New Roman"/>
          <w:szCs w:val="18"/>
        </w:rPr>
        <w:t>- Introduce re-registration requirements for product declarations issued before the effective date of the Decree.</w:t>
      </w:r>
    </w:p>
    <w:p w:rsidR="00852D59" w:rsidRPr="002F663C" w:rsidP="00B16ACF" w14:paraId="6D17B2EF" w14:textId="77777777">
      <w:pPr>
        <w:spacing w:before="120" w:after="120"/>
        <w:rPr>
          <w:rFonts w:eastAsia="Calibri" w:cs="Times New Roman"/>
          <w:szCs w:val="18"/>
        </w:rPr>
      </w:pPr>
      <w:r w:rsidRPr="002F663C">
        <w:rPr>
          <w:rFonts w:eastAsia="Calibri" w:cs="Times New Roman"/>
          <w:szCs w:val="18"/>
        </w:rPr>
        <w:t>- Regulations to strengthen advertising management, including additional regulations on strengthening the responsibilities of parties participating in advertising.</w:t>
      </w:r>
    </w:p>
    <w:p w:rsidR="00852D59" w:rsidRPr="002F663C" w:rsidP="00B16ACF" w14:paraId="41385A6F" w14:textId="77777777">
      <w:pPr>
        <w:spacing w:before="120" w:after="120"/>
        <w:rPr>
          <w:rFonts w:eastAsia="Calibri" w:cs="Times New Roman"/>
          <w:szCs w:val="18"/>
        </w:rPr>
      </w:pPr>
      <w:r w:rsidRPr="002F663C">
        <w:rPr>
          <w:rFonts w:eastAsia="Calibri" w:cs="Times New Roman"/>
          <w:szCs w:val="18"/>
        </w:rPr>
        <w:t>- Supplementing regulations on transferring domestic consumption or changing the purpose of use for food products.</w:t>
      </w:r>
    </w:p>
    <w:p w:rsidR="00852D59" w:rsidRPr="002F663C" w:rsidP="00B16ACF" w14:paraId="29F22579" w14:textId="77777777">
      <w:pPr>
        <w:spacing w:before="120" w:after="120"/>
        <w:rPr>
          <w:rFonts w:eastAsia="Calibri" w:cs="Times New Roman"/>
          <w:szCs w:val="18"/>
        </w:rPr>
      </w:pPr>
      <w:r w:rsidRPr="002F663C">
        <w:rPr>
          <w:rFonts w:eastAsia="Calibri" w:cs="Times New Roman"/>
          <w:szCs w:val="18"/>
        </w:rPr>
        <w:t>- Specify specific responsibilities of a number of relevant ministries and the Provincial People's Committee in food safety management to proactively manage and prevent businesses from abusing the production of fake products and falsifying test certificates; trading and advertising on e-commerce platforms and social platforms; controlling prices of functional foods and milk for children under 6 years old according to the Law on Prices.</w:t>
      </w:r>
    </w:p>
    <w:p w:rsidR="006C5A96" w:rsidP="006C5A96" w14:paraId="499461EE" w14:textId="77777777">
      <w:pPr>
        <w:jc w:val="center"/>
        <w:rPr>
          <w:b/>
        </w:rPr>
      </w:pPr>
      <w:r w:rsidRPr="003971FF">
        <w:rPr>
          <w:b/>
        </w:rPr>
        <w:t>__________</w:t>
      </w:r>
    </w:p>
    <w:p w:rsidR="004D4D19" w:rsidP="007F38C2" w14:paraId="5C7DD288" w14:textId="77777777">
      <w:pPr>
        <w:jc w:val="center"/>
        <w:rPr>
          <w:b/>
        </w:rPr>
      </w:pPr>
    </w:p>
    <w:p w:rsidR="00A1565D" w:rsidP="003971FF" w14:paraId="62029AE6"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CF8C57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97C3F4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8AD38BD" w14:textId="77777777">
      <w:r>
        <w:separator/>
      </w:r>
    </w:p>
  </w:footnote>
  <w:footnote w:type="continuationSeparator" w:id="1">
    <w:p w:rsidR="004D3A6A" w:rsidP="00ED54E0" w14:paraId="52F291C5" w14:textId="77777777">
      <w:r>
        <w:continuationSeparator/>
      </w:r>
    </w:p>
  </w:footnote>
  <w:footnote w:id="2">
    <w:p w:rsidR="007F6EA2" w14:paraId="32EAFFF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B86397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756DF26" w14:textId="77777777">
    <w:pPr>
      <w:pStyle w:val="Header"/>
      <w:pBdr>
        <w:bottom w:val="single" w:sz="4" w:space="1" w:color="auto"/>
      </w:pBdr>
      <w:tabs>
        <w:tab w:val="clear" w:pos="4513"/>
        <w:tab w:val="clear" w:pos="9027"/>
      </w:tabs>
      <w:jc w:val="center"/>
    </w:pPr>
  </w:p>
  <w:p w:rsidR="00DD3DD7" w:rsidRPr="00DD3DD7" w:rsidP="00DD3DD7" w14:paraId="6ABB7DA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5CF9EF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49BCECB" w14:textId="77777777">
    <w:pPr>
      <w:pStyle w:val="Header"/>
      <w:pBdr>
        <w:bottom w:val="single" w:sz="4" w:space="1" w:color="auto"/>
      </w:pBdr>
      <w:tabs>
        <w:tab w:val="clear" w:pos="4513"/>
        <w:tab w:val="clear" w:pos="9027"/>
      </w:tabs>
      <w:jc w:val="center"/>
    </w:pPr>
    <w:bookmarkStart w:id="3" w:name="spsSymbolHeader"/>
    <w:r w:rsidRPr="00DD3DD7">
      <w:t>G/TBT/N/VNM/339/Add.1</w:t>
    </w:r>
    <w:bookmarkEnd w:id="3"/>
  </w:p>
  <w:p w:rsidR="00DD3DD7" w:rsidRPr="00DD3DD7" w:rsidP="00DD3DD7" w14:paraId="78592DB7" w14:textId="77777777">
    <w:pPr>
      <w:pStyle w:val="Header"/>
      <w:pBdr>
        <w:bottom w:val="single" w:sz="4" w:space="1" w:color="auto"/>
      </w:pBdr>
      <w:tabs>
        <w:tab w:val="clear" w:pos="4513"/>
        <w:tab w:val="clear" w:pos="9027"/>
      </w:tabs>
      <w:jc w:val="center"/>
    </w:pPr>
  </w:p>
  <w:p w:rsidR="00DD3DD7" w:rsidRPr="00DD3DD7" w:rsidP="00DD3DD7" w14:paraId="103BBBD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EA30D3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4B30C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655C8B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4019201" w14:textId="77777777">
          <w:pPr>
            <w:jc w:val="right"/>
            <w:rPr>
              <w:b/>
              <w:color w:val="FF0000"/>
              <w:szCs w:val="16"/>
            </w:rPr>
          </w:pPr>
          <w:r>
            <w:rPr>
              <w:b/>
              <w:color w:val="FF0000"/>
              <w:szCs w:val="16"/>
            </w:rPr>
            <w:t xml:space="preserve"> </w:t>
          </w:r>
        </w:p>
      </w:tc>
    </w:tr>
    <w:tr w14:paraId="368E1AB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E9B9C1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2C0B937" w14:textId="77777777">
          <w:pPr>
            <w:jc w:val="right"/>
            <w:rPr>
              <w:b/>
              <w:szCs w:val="16"/>
            </w:rPr>
          </w:pPr>
        </w:p>
      </w:tc>
    </w:tr>
    <w:tr w14:paraId="0AC7AED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4A2DC7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6F145E7" w14:textId="77777777">
          <w:pPr>
            <w:jc w:val="right"/>
            <w:rPr>
              <w:rFonts w:eastAsia="Calibri" w:cs="Times New Roman"/>
              <w:b/>
              <w:szCs w:val="16"/>
            </w:rPr>
          </w:pPr>
          <w:bookmarkStart w:id="4" w:name="bmkSymbols"/>
          <w:r w:rsidRPr="002F663C">
            <w:rPr>
              <w:rFonts w:eastAsia="Calibri" w:cs="Times New Roman"/>
              <w:b/>
              <w:szCs w:val="16"/>
            </w:rPr>
            <w:t>G/TBT/N/VNM/339/Add.1</w:t>
          </w:r>
          <w:bookmarkEnd w:id="4"/>
        </w:p>
        <w:p w:rsidR="00C14444" w:rsidRPr="00C14444" w:rsidP="00C14444" w14:paraId="2113AC5A" w14:textId="77777777">
          <w:pPr>
            <w:jc w:val="center"/>
            <w:rPr>
              <w:szCs w:val="16"/>
            </w:rPr>
          </w:pPr>
        </w:p>
      </w:tc>
    </w:tr>
    <w:tr w14:paraId="79953FC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98C6101" w14:textId="77777777"/>
      </w:tc>
      <w:tc>
        <w:tcPr>
          <w:tcW w:w="5448" w:type="dxa"/>
          <w:gridSpan w:val="2"/>
          <w:shd w:val="clear" w:color="auto" w:fill="FFFFFF"/>
          <w:tcMar>
            <w:left w:w="108" w:type="dxa"/>
            <w:right w:w="108" w:type="dxa"/>
          </w:tcMar>
          <w:vAlign w:val="center"/>
        </w:tcPr>
        <w:p w:rsidR="00ED54E0" w:rsidRPr="00182B84" w:rsidP="00425DC5" w14:paraId="09721B7D" w14:textId="77777777">
          <w:pPr>
            <w:jc w:val="right"/>
            <w:rPr>
              <w:szCs w:val="16"/>
            </w:rPr>
          </w:pPr>
          <w:bookmarkStart w:id="5" w:name="bmkDate"/>
          <w:r w:rsidRPr="00182B84">
            <w:rPr>
              <w:szCs w:val="16"/>
            </w:rPr>
            <w:t>1 July 2025</w:t>
          </w:r>
          <w:bookmarkEnd w:id="5"/>
        </w:p>
      </w:tc>
    </w:tr>
    <w:tr w14:paraId="47007E0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DBBDBE7" w14:textId="77777777">
          <w:pPr>
            <w:jc w:val="left"/>
            <w:rPr>
              <w:b/>
            </w:rPr>
          </w:pPr>
          <w:bookmarkStart w:id="6" w:name="bmkSerial"/>
          <w:r>
            <w:rPr>
              <w:b w:val="0"/>
              <w:color w:val="FF0000"/>
            </w:rPr>
            <w:t>(25-4227)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AF0127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7916EE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8F07C0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CD236E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1592B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83377872">
    <w:abstractNumId w:val="9"/>
  </w:num>
  <w:num w:numId="2" w16cid:durableId="774638062">
    <w:abstractNumId w:val="7"/>
  </w:num>
  <w:num w:numId="3" w16cid:durableId="1457941175">
    <w:abstractNumId w:val="6"/>
  </w:num>
  <w:num w:numId="4" w16cid:durableId="1851140907">
    <w:abstractNumId w:val="5"/>
  </w:num>
  <w:num w:numId="5" w16cid:durableId="899101297">
    <w:abstractNumId w:val="4"/>
  </w:num>
  <w:num w:numId="6" w16cid:durableId="1290477117">
    <w:abstractNumId w:val="12"/>
  </w:num>
  <w:num w:numId="7" w16cid:durableId="731541673">
    <w:abstractNumId w:val="11"/>
  </w:num>
  <w:num w:numId="8" w16cid:durableId="1631401002">
    <w:abstractNumId w:val="10"/>
  </w:num>
  <w:num w:numId="9" w16cid:durableId="1530218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1880248">
    <w:abstractNumId w:val="13"/>
  </w:num>
  <w:num w:numId="11" w16cid:durableId="519708713">
    <w:abstractNumId w:val="8"/>
  </w:num>
  <w:num w:numId="12" w16cid:durableId="1379479082">
    <w:abstractNumId w:val="3"/>
  </w:num>
  <w:num w:numId="13" w16cid:durableId="237789904">
    <w:abstractNumId w:val="2"/>
  </w:num>
  <w:num w:numId="14" w16cid:durableId="1821191000">
    <w:abstractNumId w:val="1"/>
  </w:num>
  <w:num w:numId="15" w16cid:durableId="294336079">
    <w:abstractNumId w:val="0"/>
  </w:num>
  <w:num w:numId="16" w16cid:durableId="86941913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8640E"/>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52D59"/>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85FBC"/>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76F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VNM/modification/25_04236_00_e.pdf" TargetMode="External" /><Relationship Id="rId7" Type="http://schemas.openxmlformats.org/officeDocument/2006/relationships/hyperlink" Target="mailto:qlsp.attp@moh.gov.v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2025-07-01T10:34:00Z</dcterms:created>
  <dcterms:modified xsi:type="dcterms:W3CDTF">2025-07-01T10:34:00Z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